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Style w:val="950"/>
          <w:rFonts w:ascii="PT Astra Serif" w:hAnsi="PT Astra Serif"/>
          <w:color w:val="000000"/>
          <w:sz w:val="28"/>
          <w:szCs w:val="22"/>
        </w:rPr>
        <w:outlineLvl w:val="0"/>
      </w:pPr>
      <w:r/>
      <w:bookmarkStart w:id="0" w:name="OLE_LINK3"/>
      <w:r>
        <w:rPr>
          <w:rStyle w:val="950"/>
          <w:rFonts w:ascii="PT Astra Serif" w:hAnsi="PT Astra Serif"/>
          <w:color w:val="000000"/>
          <w:sz w:val="28"/>
          <w:szCs w:val="22"/>
        </w:rPr>
        <w:t xml:space="preserve">Информационное сообщение </w:t>
      </w:r>
      <w:r>
        <w:rPr>
          <w:rStyle w:val="950"/>
          <w:rFonts w:ascii="PT Astra Serif" w:hAnsi="PT Astra Serif"/>
          <w:color w:val="000000"/>
          <w:sz w:val="28"/>
          <w:szCs w:val="22"/>
        </w:rPr>
      </w:r>
      <w:r>
        <w:rPr>
          <w:rStyle w:val="950"/>
          <w:rFonts w:ascii="PT Astra Serif" w:hAnsi="PT Astra Serif"/>
          <w:color w:val="000000"/>
          <w:sz w:val="28"/>
          <w:szCs w:val="22"/>
        </w:rPr>
      </w:r>
    </w:p>
    <w:p>
      <w:pPr>
        <w:jc w:val="center"/>
        <w:rPr>
          <w:rFonts w:ascii="PT Astra Serif" w:hAnsi="PT Astra Serif" w:cs="PT Astra Serif"/>
          <w:color w:val="000000"/>
          <w:sz w:val="32"/>
          <w:szCs w:val="32"/>
        </w:rPr>
      </w:pPr>
      <w:r>
        <w:rPr>
          <w:rStyle w:val="950"/>
          <w:rFonts w:ascii="PT Astra Serif" w:hAnsi="PT Astra Serif" w:eastAsia="PT Astra Serif" w:cs="PT Astra Serif"/>
          <w:color w:val="000000"/>
          <w:sz w:val="28"/>
          <w:szCs w:val="28"/>
        </w:rPr>
      </w:r>
      <w:r>
        <w:rPr>
          <w:rStyle w:val="950"/>
          <w:rFonts w:ascii="PT Astra Serif" w:hAnsi="PT Astra Serif" w:eastAsia="PT Astra Serif" w:cs="PT Astra Serif"/>
          <w:color w:val="auto"/>
          <w:sz w:val="28"/>
          <w:szCs w:val="28"/>
        </w:rPr>
        <w:t xml:space="preserve">о </w:t>
      </w:r>
      <w:r>
        <w:rPr>
          <w:rStyle w:val="950"/>
          <w:rFonts w:ascii="PT Astra Serif" w:hAnsi="PT Astra Serif" w:eastAsia="PT Astra Serif" w:cs="PT Astra Serif"/>
          <w:color w:val="000000"/>
          <w:sz w:val="28"/>
          <w:szCs w:val="28"/>
        </w:rPr>
        <w:t xml:space="preserve"> продаже посредством публичного предложения</w:t>
      </w:r>
      <w:r>
        <w:rPr>
          <w:rFonts w:ascii="PT Astra Serif" w:hAnsi="PT Astra Serif" w:cs="PT Astra Serif"/>
          <w:color w:val="000000"/>
          <w:sz w:val="32"/>
          <w:szCs w:val="32"/>
        </w:rPr>
      </w:r>
      <w:r>
        <w:rPr>
          <w:rFonts w:ascii="PT Astra Serif" w:hAnsi="PT Astra Serif" w:cs="PT Astra Serif"/>
          <w:color w:val="000000"/>
          <w:sz w:val="32"/>
          <w:szCs w:val="32"/>
        </w:rPr>
      </w:r>
    </w:p>
    <w:p>
      <w:pPr>
        <w:jc w:val="center"/>
        <w:rPr>
          <w:rFonts w:ascii="PT Astra Serif" w:hAnsi="PT Astra Serif"/>
          <w:b/>
          <w:bCs/>
          <w:sz w:val="28"/>
          <w:szCs w:val="28"/>
          <w14:ligatures w14:val="none"/>
        </w:rPr>
        <w:outlineLvl w:val="0"/>
      </w:pPr>
      <w:r>
        <w:rPr>
          <w:rFonts w:ascii="PT Astra Serif" w:hAnsi="PT Astra Serif"/>
          <w:b/>
          <w:bCs/>
          <w:sz w:val="28"/>
          <w:szCs w:val="28"/>
        </w:rPr>
      </w:r>
      <w:r>
        <w:rPr>
          <w:rFonts w:ascii="PT Astra Serif" w:hAnsi="PT Astra Serif"/>
          <w:b/>
          <w:bCs/>
          <w:color w:val="000000"/>
          <w:sz w:val="28"/>
          <w:szCs w:val="28"/>
        </w:rPr>
        <w:t xml:space="preserve">Здания холодного склада ОРСа</w:t>
      </w:r>
      <w:r>
        <w:rPr>
          <w:rFonts w:ascii="PT Astra Serif" w:hAnsi="PT Astra Serif"/>
          <w:b/>
          <w:bCs/>
          <w:color w:val="000000"/>
          <w:sz w:val="28"/>
          <w:szCs w:val="28"/>
        </w:rPr>
        <w:t xml:space="preserve">,</w:t>
      </w:r>
      <w:r>
        <w:rPr>
          <w:rFonts w:ascii="PT Astra Serif" w:hAnsi="PT Astra Serif"/>
          <w:b/>
          <w:bCs/>
          <w:sz w:val="28"/>
          <w:szCs w:val="28"/>
          <w14:ligatures w14:val="none"/>
        </w:rPr>
        <w:t xml:space="preserve"> </w:t>
      </w:r>
      <w:r>
        <w:rPr>
          <w:rStyle w:val="950"/>
          <w:rFonts w:ascii="PT Astra Serif" w:hAnsi="PT Astra Serif"/>
          <w:color w:val="000000"/>
          <w:sz w:val="28"/>
          <w:szCs w:val="28"/>
        </w:rPr>
        <w:t xml:space="preserve">р</w:t>
      </w:r>
      <w:r>
        <w:rPr>
          <w:rStyle w:val="950"/>
          <w:rFonts w:ascii="PT Astra Serif" w:hAnsi="PT Astra Serif"/>
          <w:color w:val="000000"/>
          <w:sz w:val="28"/>
          <w:szCs w:val="22"/>
        </w:rPr>
        <w:t xml:space="preserve">асположенного по адресу: </w:t>
      </w:r>
      <w:r>
        <w:rPr>
          <w:rStyle w:val="950"/>
          <w:rFonts w:ascii="PT Astra Serif" w:hAnsi="PT Astra Serif"/>
          <w:color w:val="000000"/>
          <w:sz w:val="28"/>
          <w:szCs w:val="28"/>
          <w14:ligatures w14:val="none"/>
        </w:rPr>
      </w:r>
      <w:r>
        <w:rPr>
          <w:rFonts w:ascii="PT Astra Serif" w:hAnsi="PT Astra Serif"/>
          <w:b/>
          <w:bCs/>
          <w:sz w:val="28"/>
          <w:szCs w:val="28"/>
          <w14:ligatures w14:val="none"/>
        </w:rPr>
      </w:r>
    </w:p>
    <w:p>
      <w:pPr>
        <w:jc w:val="center"/>
        <w:rPr>
          <w:rFonts w:ascii="PT Astra Serif" w:hAnsi="PT Astra Serif"/>
          <w:b/>
          <w:bCs/>
          <w:sz w:val="28"/>
          <w:szCs w:val="28"/>
          <w14:ligatures w14:val="none"/>
        </w:rPr>
        <w:outlineLvl w:val="0"/>
      </w:pPr>
      <w:r>
        <w:rPr>
          <w:rStyle w:val="950"/>
          <w:rFonts w:ascii="PT Astra Serif" w:hAnsi="PT Astra Serif"/>
          <w:color w:val="000000"/>
          <w:sz w:val="28"/>
          <w:szCs w:val="22"/>
        </w:rPr>
        <w:t xml:space="preserve">ХМАО-Югра,</w:t>
      </w:r>
      <w:r>
        <w:rPr>
          <w:rStyle w:val="950"/>
          <w:rFonts w:ascii="PT Astra Serif" w:hAnsi="PT Astra Serif"/>
          <w:color w:val="000000"/>
          <w:sz w:val="28"/>
          <w:szCs w:val="22"/>
        </w:rPr>
        <w:t xml:space="preserve"> </w:t>
      </w:r>
      <w:r>
        <w:rPr>
          <w:rStyle w:val="950"/>
          <w:rFonts w:ascii="PT Astra Serif" w:hAnsi="PT Astra Serif"/>
          <w:color w:val="000000"/>
          <w:sz w:val="28"/>
          <w:szCs w:val="22"/>
        </w:rPr>
        <w:t xml:space="preserve">с. Перегребное</w:t>
      </w:r>
      <w:r>
        <w:rPr>
          <w:rStyle w:val="950"/>
          <w:rFonts w:ascii="PT Astra Serif" w:hAnsi="PT Astra Serif"/>
          <w:b w:val="0"/>
          <w:i/>
          <w:color w:val="auto"/>
          <w:sz w:val="28"/>
          <w:szCs w:val="22"/>
          <w:highlight w:val="none"/>
        </w:rPr>
      </w:r>
      <w:r>
        <w:rPr>
          <w:rStyle w:val="950"/>
          <w:rFonts w:ascii="PT Astra Serif" w:hAnsi="PT Astra Serif"/>
          <w:b w:val="0"/>
          <w:bCs/>
          <w:i/>
          <w:color w:val="auto"/>
          <w:sz w:val="28"/>
          <w:szCs w:val="28"/>
          <w:highlight w:val="none"/>
        </w:rPr>
      </w:r>
      <w:r>
        <w:rPr>
          <w:rStyle w:val="950"/>
          <w:rFonts w:ascii="PT Astra Serif" w:hAnsi="PT Astra Serif"/>
          <w:b w:val="0"/>
          <w:bCs/>
          <w:i/>
          <w:color w:val="auto"/>
          <w:sz w:val="28"/>
          <w:szCs w:val="28"/>
          <w:highlight w:val="none"/>
        </w:rPr>
      </w:r>
      <w:r>
        <w:rPr>
          <w:rFonts w:ascii="PT Astra Serif" w:hAnsi="PT Astra Serif"/>
          <w:b/>
          <w:bCs/>
          <w:sz w:val="28"/>
          <w:szCs w:val="28"/>
          <w14:ligatures w14:val="none"/>
        </w:rPr>
      </w:r>
    </w:p>
    <w:p>
      <w:pPr>
        <w:ind w:left="360"/>
        <w:jc w:val="center"/>
        <w:rPr>
          <w:rFonts w:ascii="PT Astra Serif" w:hAnsi="PT Astra Serif"/>
          <w:bCs/>
          <w:color w:val="000000"/>
          <w:sz w:val="16"/>
          <w:szCs w:val="16"/>
        </w:rPr>
        <w:outlineLvl w:val="0"/>
      </w:pPr>
      <w:r>
        <w:rPr>
          <w:rFonts w:ascii="PT Astra Serif" w:hAnsi="PT Astra Serif"/>
          <w:bCs/>
          <w:color w:val="000000"/>
          <w:sz w:val="16"/>
          <w:szCs w:val="16"/>
        </w:rPr>
      </w:r>
      <w:r>
        <w:rPr>
          <w:rFonts w:ascii="PT Astra Serif" w:hAnsi="PT Astra Serif"/>
          <w:bCs/>
          <w:color w:val="000000"/>
          <w:sz w:val="16"/>
          <w:szCs w:val="16"/>
        </w:rPr>
      </w:r>
      <w:r>
        <w:rPr>
          <w:rFonts w:ascii="PT Astra Serif" w:hAnsi="PT Astra Serif"/>
          <w:bCs/>
          <w:color w:val="000000"/>
          <w:sz w:val="16"/>
          <w:szCs w:val="16"/>
        </w:rPr>
      </w:r>
    </w:p>
    <w:p>
      <w:pPr>
        <w:pStyle w:val="971"/>
        <w:numPr>
          <w:ilvl w:val="0"/>
          <w:numId w:val="47"/>
        </w:numPr>
        <w:ind w:left="0" w:right="0" w:firstLine="0"/>
        <w:jc w:val="both"/>
        <w:rPr>
          <w:rFonts w:ascii="PT Astra Serif" w:hAnsi="PT Astra Serif" w:cs="PT Astra Serif"/>
          <w:sz w:val="24"/>
          <w:szCs w:val="24"/>
        </w:rPr>
        <w:outlineLvl w:val="0"/>
      </w:pPr>
      <w:r>
        <w:rPr>
          <w:rFonts w:ascii="PT Astra Serif" w:hAnsi="PT Astra Serif" w:eastAsia="PT Astra Serif" w:cs="PT Astra Serif"/>
          <w:b/>
          <w:bCs/>
          <w:sz w:val="24"/>
          <w:szCs w:val="24"/>
        </w:rPr>
        <w:t xml:space="preserve">Ф</w:t>
      </w:r>
      <w:r>
        <w:rPr>
          <w:rFonts w:ascii="PT Astra Serif" w:hAnsi="PT Astra Serif" w:eastAsia="PT Astra Serif" w:cs="PT Astra Serif"/>
          <w:b/>
          <w:bCs/>
          <w:sz w:val="24"/>
          <w:szCs w:val="24"/>
        </w:rPr>
        <w:t xml:space="preserve">орма проведения: </w:t>
      </w:r>
      <w:r>
        <w:rPr>
          <w:rFonts w:ascii="PT Astra Serif" w:hAnsi="PT Astra Serif" w:eastAsia="PT Astra Serif" w:cs="PT Astra Serif"/>
          <w:color w:val="000000"/>
          <w:sz w:val="24"/>
          <w:szCs w:val="24"/>
          <w:lang w:eastAsia="en-US"/>
        </w:rPr>
        <w:t xml:space="preserve">открытое публичное предложение по продаже имущества в</w:t>
      </w:r>
      <w:r>
        <w:rPr>
          <w:rFonts w:ascii="PT Astra Serif" w:hAnsi="PT Astra Serif" w:eastAsia="PT Astra Serif" w:cs="PT Astra Serif"/>
          <w:color w:val="000000"/>
          <w:sz w:val="24"/>
          <w:szCs w:val="24"/>
        </w:rPr>
        <w:t xml:space="preserve"> э</w:t>
      </w:r>
      <w:r>
        <w:rPr>
          <w:rFonts w:ascii="PT Astra Serif" w:hAnsi="PT Astra Serif" w:eastAsia="PT Astra Serif" w:cs="PT Astra Serif"/>
          <w:bCs/>
          <w:color w:val="000000"/>
          <w:sz w:val="24"/>
          <w:szCs w:val="24"/>
        </w:rPr>
        <w:t xml:space="preserve">лектронной форме на электронной торговой площадке ООО ЭТП ГПБ</w:t>
      </w:r>
      <w:r>
        <w:rPr>
          <w:rFonts w:ascii="PT Astra Serif" w:hAnsi="PT Astra Serif" w:eastAsia="PT Astra Serif" w:cs="PT Astra Serif"/>
          <w:bCs/>
          <w:sz w:val="24"/>
          <w:szCs w:val="24"/>
        </w:rPr>
        <w:t xml:space="preserve">.</w:t>
      </w:r>
      <w:r>
        <w:rPr>
          <w:rFonts w:ascii="PT Astra Serif" w:hAnsi="PT Astra Serif" w:cs="PT Astra Serif"/>
          <w:sz w:val="24"/>
          <w:szCs w:val="24"/>
        </w:rPr>
      </w:r>
      <w:r>
        <w:rPr>
          <w:rFonts w:ascii="PT Astra Serif" w:hAnsi="PT Astra Serif" w:cs="PT Astra Serif"/>
          <w:sz w:val="24"/>
          <w:szCs w:val="24"/>
        </w:rPr>
      </w:r>
    </w:p>
    <w:p>
      <w:pPr>
        <w:jc w:val="both"/>
        <w:rPr>
          <w:rFonts w:ascii="PT Astra Serif" w:hAnsi="PT Astra Serif" w:cs="PT Astra Serif"/>
          <w:bCs/>
          <w:sz w:val="24"/>
          <w:szCs w:val="24"/>
        </w:rPr>
      </w:pPr>
      <w:r>
        <w:rPr>
          <w:rFonts w:ascii="PT Astra Serif" w:hAnsi="PT Astra Serif" w:eastAsia="PT Astra Serif" w:cs="PT Astra Serif"/>
          <w:b/>
          <w:bCs/>
          <w:sz w:val="24"/>
          <w:szCs w:val="24"/>
        </w:rPr>
        <w:t xml:space="preserve">2.         Сведения о продавце (собственнике) имущества: </w:t>
      </w:r>
      <w:r>
        <w:rPr>
          <w:rFonts w:ascii="PT Astra Serif" w:hAnsi="PT Astra Serif" w:eastAsia="PT Astra Serif" w:cs="PT Astra Serif"/>
          <w:bCs/>
          <w:sz w:val="24"/>
          <w:szCs w:val="24"/>
        </w:rPr>
        <w:t xml:space="preserve">ООО «Газпром трансгаз Югорск», </w:t>
      </w:r>
      <w:r>
        <w:rPr>
          <w:rFonts w:ascii="PT Astra Serif" w:hAnsi="PT Astra Serif" w:cs="PT Astra Serif"/>
          <w:bCs/>
          <w:sz w:val="24"/>
          <w:szCs w:val="24"/>
        </w:rPr>
      </w:r>
      <w:r>
        <w:rPr>
          <w:rFonts w:ascii="PT Astra Serif" w:hAnsi="PT Astra Serif" w:cs="PT Astra Serif"/>
          <w:bCs/>
          <w:sz w:val="24"/>
          <w:szCs w:val="24"/>
        </w:rPr>
      </w:r>
    </w:p>
    <w:p>
      <w:pPr>
        <w:pStyle w:val="971"/>
        <w:contextualSpacing w:val="0"/>
        <w:ind w:left="0"/>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Контактное лицо:</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Новикова Эльмира Раисовна,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тел</w:t>
      </w:r>
      <w:r>
        <w:rPr>
          <w:rFonts w:ascii="PT Astra Serif" w:hAnsi="PT Astra Serif" w:eastAsia="PT Astra Serif" w:cs="PT Astra Serif"/>
          <w:bCs/>
          <w:sz w:val="24"/>
          <w:szCs w:val="24"/>
        </w:rPr>
        <w:t xml:space="preserve">.: 8 (34675) 2-23-07, 8</w:t>
      </w:r>
      <w:r>
        <w:rPr>
          <w:rFonts w:ascii="PT Astra Serif" w:hAnsi="PT Astra Serif" w:eastAsia="PT Astra Serif" w:cs="PT Astra Serif"/>
          <w:bCs/>
          <w:sz w:val="24"/>
          <w:szCs w:val="24"/>
          <w:lang w:val="en-US"/>
        </w:rPr>
        <w:t xml:space="preserve"> </w:t>
      </w:r>
      <w:r>
        <w:rPr>
          <w:rFonts w:ascii="PT Astra Serif" w:hAnsi="PT Astra Serif" w:eastAsia="PT Astra Serif" w:cs="PT Astra Serif"/>
          <w:bCs/>
          <w:sz w:val="24"/>
          <w:szCs w:val="24"/>
        </w:rPr>
        <w:t xml:space="preserve">927</w:t>
      </w:r>
      <w:r>
        <w:rPr>
          <w:rFonts w:ascii="PT Astra Serif" w:hAnsi="PT Astra Serif" w:eastAsia="PT Astra Serif" w:cs="PT Astra Serif"/>
          <w:bCs/>
          <w:sz w:val="24"/>
          <w:szCs w:val="24"/>
          <w:lang w:val="en-US"/>
        </w:rPr>
        <w:t xml:space="preserve"> </w:t>
      </w:r>
      <w:r>
        <w:rPr>
          <w:rFonts w:ascii="PT Astra Serif" w:hAnsi="PT Astra Serif" w:eastAsia="PT Astra Serif" w:cs="PT Astra Serif"/>
          <w:bCs/>
          <w:sz w:val="24"/>
          <w:szCs w:val="24"/>
        </w:rPr>
        <w:t xml:space="preserve">088 15 35.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адрес электронной почты: </w:t>
      </w:r>
      <w:r>
        <w:rPr>
          <w:rFonts w:ascii="PT Astra Serif" w:hAnsi="PT Astra Serif" w:eastAsia="PT Astra Serif" w:cs="PT Astra Serif"/>
          <w:bCs/>
          <w:sz w:val="24"/>
          <w:szCs w:val="24"/>
          <w:lang w:val="en-US"/>
        </w:rPr>
        <w:t xml:space="preserve">ER</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Novikova</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ttg</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gazprom</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ru</w:t>
      </w:r>
      <w:r>
        <w:rPr>
          <w:rFonts w:ascii="PT Astra Serif" w:hAnsi="PT Astra Serif" w:eastAsia="PT Astra Serif" w:cs="PT Astra Serif"/>
          <w:bCs/>
          <w:sz w:val="24"/>
          <w:szCs w:val="24"/>
        </w:rPr>
        <w:t xml:space="preserve">.</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Все замечания и предложения по процедуре проведения настоящих торгов просим сообщать в ПАО «Газпром», адрес электронной почты: </w:t>
      </w:r>
      <w:hyperlink r:id="rId12" w:tooltip="mailto:inf@adm.gazprom.ru" w:history="1">
        <w:r>
          <w:rPr>
            <w:rFonts w:ascii="PT Astra Serif" w:hAnsi="PT Astra Serif" w:eastAsia="PT Astra Serif" w:cs="PT Astra Serif"/>
            <w:sz w:val="24"/>
            <w:szCs w:val="24"/>
          </w:rPr>
          <w:t xml:space="preserve">inf@adm.gazprom.ru</w:t>
        </w:r>
      </w:hyperlink>
      <w:r>
        <w:rPr>
          <w:rFonts w:ascii="PT Astra Serif" w:hAnsi="PT Astra Serif" w:eastAsia="PT Astra Serif" w:cs="PT Astra Serif"/>
          <w:bCs/>
          <w:sz w:val="24"/>
          <w:szCs w:val="24"/>
        </w:rPr>
        <w:t xml:space="preserve">, тел. </w:t>
      </w:r>
      <w:r>
        <w:rPr>
          <w:rFonts w:ascii="PT Astra Serif" w:hAnsi="PT Astra Serif" w:eastAsia="PT Astra Serif" w:cs="PT Astra Serif"/>
          <w:sz w:val="24"/>
          <w:szCs w:val="24"/>
        </w:rPr>
        <w:t xml:space="preserve">8 (812) 729-30-54, 8 (812) 729-30-56.</w:t>
      </w:r>
      <w:r>
        <w:rPr>
          <w:rFonts w:ascii="PT Astra Serif" w:hAnsi="PT Astra Serif" w:cs="PT Astra Serif"/>
          <w:bCs/>
          <w:sz w:val="24"/>
          <w:szCs w:val="24"/>
        </w:rPr>
      </w:r>
      <w:r>
        <w:rPr>
          <w:rFonts w:ascii="PT Astra Serif" w:hAnsi="PT Astra Serif" w:cs="PT Astra Serif"/>
          <w:bCs/>
          <w:sz w:val="24"/>
          <w:szCs w:val="24"/>
        </w:rPr>
      </w:r>
    </w:p>
    <w:p>
      <w:pPr>
        <w:pStyle w:val="971"/>
        <w:numPr>
          <w:ilvl w:val="0"/>
          <w:numId w:val="46"/>
        </w:numPr>
        <w:contextualSpacing w:val="0"/>
        <w:ind w:left="0" w:firstLine="0"/>
        <w:jc w:val="both"/>
        <w:rPr>
          <w:rFonts w:ascii="PT Astra Serif" w:hAnsi="PT Astra Serif" w:cs="PT Astra Serif"/>
          <w:b/>
          <w:bCs/>
          <w:sz w:val="24"/>
          <w:szCs w:val="24"/>
        </w:rPr>
      </w:pPr>
      <w:r>
        <w:rPr>
          <w:rFonts w:ascii="PT Astra Serif" w:hAnsi="PT Astra Serif" w:eastAsia="PT Astra Serif" w:cs="PT Astra Serif"/>
          <w:b/>
          <w:bCs/>
          <w:sz w:val="24"/>
          <w:szCs w:val="24"/>
        </w:rPr>
        <w:t xml:space="preserve">Организатор конкурентной процедуры: </w:t>
      </w:r>
      <w:r>
        <w:rPr>
          <w:rFonts w:ascii="PT Astra Serif" w:hAnsi="PT Astra Serif" w:eastAsia="PT Astra Serif" w:cs="PT Astra Serif"/>
          <w:bCs/>
          <w:sz w:val="24"/>
          <w:szCs w:val="24"/>
        </w:rPr>
        <w:t xml:space="preserve">Общество с ограниченной ответственностью «Электронная торговая площадка </w:t>
      </w:r>
      <w:r>
        <w:rPr>
          <w:rFonts w:ascii="PT Astra Serif" w:hAnsi="PT Astra Serif" w:eastAsia="PT Astra Serif" w:cs="PT Astra Serif"/>
          <w:bCs/>
          <w:sz w:val="24"/>
          <w:szCs w:val="24"/>
        </w:rPr>
        <w:t xml:space="preserve">ГПБ» (ООО ЭТП ГПБ), г. Санкт-Петербург, </w:t>
      </w:r>
      <w:r>
        <w:rPr>
          <w:rFonts w:ascii="PT Astra Serif" w:hAnsi="PT Astra Serif" w:eastAsia="PT Astra Serif" w:cs="PT Astra Serif"/>
          <w:bCs/>
          <w:sz w:val="24"/>
          <w:szCs w:val="24"/>
        </w:rPr>
        <w:t xml:space="preserve">ул. Малая Конюшенная, д. 1-3, литер А, помещ. 19-Н. </w:t>
      </w:r>
      <w:r>
        <w:rPr>
          <w:rFonts w:ascii="PT Astra Serif" w:hAnsi="PT Astra Serif" w:cs="PT Astra Serif"/>
          <w:b/>
          <w:bCs/>
          <w:sz w:val="24"/>
          <w:szCs w:val="24"/>
        </w:rPr>
      </w:r>
      <w:r>
        <w:rPr>
          <w:rFonts w:ascii="PT Astra Serif" w:hAnsi="PT Astra Serif" w:cs="PT Astra Serif"/>
          <w:b/>
          <w:bCs/>
          <w:sz w:val="24"/>
          <w:szCs w:val="24"/>
        </w:rPr>
      </w:r>
    </w:p>
    <w:p>
      <w:pPr>
        <w:pStyle w:val="971"/>
        <w:contextualSpacing w:val="0"/>
        <w:ind w:left="0"/>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Контактные лица:</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Гладыревская Екатерина Владимировна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тел.: 8 (4</w:t>
      </w:r>
      <w:r>
        <w:rPr>
          <w:rFonts w:ascii="PT Astra Serif" w:hAnsi="PT Astra Serif" w:eastAsia="PT Astra Serif" w:cs="PT Astra Serif"/>
          <w:bCs/>
          <w:sz w:val="24"/>
          <w:szCs w:val="24"/>
        </w:rPr>
        <w:t xml:space="preserve">95) 276-00-51, доб.423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sz w:val="24"/>
          <w:szCs w:val="24"/>
        </w:rPr>
      </w:r>
      <w:hyperlink r:id="rId13" w:tooltip="mailto:e.gladyrevskaya@etpgpb.ru" w:history="1">
        <w:r>
          <w:rPr>
            <w:rStyle w:val="942"/>
            <w:rFonts w:ascii="PT Astra Serif" w:hAnsi="PT Astra Serif" w:eastAsia="PT Astra Serif" w:cs="PT Astra Serif"/>
            <w:sz w:val="24"/>
            <w:szCs w:val="24"/>
          </w:rPr>
          <w:t xml:space="preserve">e.gladyrevskaya@etpgpb.ru</w:t>
        </w:r>
      </w:hyperlink>
      <w:r>
        <w:rPr>
          <w:rFonts w:ascii="PT Astra Serif" w:hAnsi="PT Astra Serif" w:eastAsia="PT Astra Serif" w:cs="PT Astra Serif"/>
          <w:bCs/>
          <w:sz w:val="24"/>
          <w:szCs w:val="24"/>
        </w:rPr>
        <w:t xml:space="preserve">;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Лысенин Владимир Сергеевич</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 тел.: 8 (495) 276-00-51, доб.421</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sz w:val="24"/>
          <w:szCs w:val="24"/>
        </w:rPr>
      </w:r>
      <w:hyperlink r:id="rId14" w:tooltip="mailto:v.lysenin@etpgpb.ru" w:history="1">
        <w:r>
          <w:rPr>
            <w:rFonts w:ascii="PT Astra Serif" w:hAnsi="PT Astra Serif" w:eastAsia="PT Astra Serif" w:cs="PT Astra Serif"/>
            <w:bCs/>
            <w:sz w:val="24"/>
            <w:szCs w:val="24"/>
          </w:rPr>
          <w:t xml:space="preserve">v.lysenin@etpgpb.ru</w:t>
        </w:r>
      </w:hyperlink>
      <w:r>
        <w:rPr>
          <w:rFonts w:ascii="PT Astra Serif" w:hAnsi="PT Astra Serif" w:cs="PT Astra Serif"/>
          <w:bCs/>
          <w:sz w:val="24"/>
          <w:szCs w:val="24"/>
        </w:rPr>
      </w:r>
      <w:r>
        <w:rPr>
          <w:rFonts w:ascii="PT Astra Serif" w:hAnsi="PT Astra Serif" w:cs="PT Astra Serif"/>
          <w:bCs/>
          <w:sz w:val="24"/>
          <w:szCs w:val="24"/>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4. </w:t>
      </w:r>
      <w:r>
        <w:rPr>
          <w:rFonts w:ascii="PT Astra Serif" w:hAnsi="PT Astra Serif" w:eastAsia="PT Astra Serif" w:cs="PT Astra Serif"/>
          <w:b/>
          <w:bCs/>
          <w:sz w:val="24"/>
          <w:szCs w:val="24"/>
          <w:lang w:eastAsia="en-US"/>
        </w:rPr>
        <w:t xml:space="preserve">Дата и время конкурентной процедуры: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b/>
          <w:bCs/>
          <w:sz w:val="24"/>
          <w:szCs w:val="24"/>
          <w:lang w:eastAsia="en-US"/>
        </w:rPr>
        <w:t xml:space="preserve">«25</w:t>
      </w:r>
      <w:r>
        <w:rPr>
          <w:rFonts w:ascii="PT Astra Serif" w:hAnsi="PT Astra Serif" w:eastAsia="PT Astra Serif" w:cs="PT Astra Serif"/>
          <w:b/>
          <w:bCs/>
          <w:sz w:val="24"/>
          <w:szCs w:val="24"/>
          <w:lang w:eastAsia="en-US"/>
        </w:rPr>
        <w:t xml:space="preserve">» марта</w:t>
      </w:r>
      <w:r>
        <w:rPr>
          <w:rFonts w:ascii="PT Astra Serif" w:hAnsi="PT Astra Serif" w:eastAsia="PT Astra Serif" w:cs="PT Astra Serif"/>
          <w:b/>
          <w:bCs/>
          <w:sz w:val="24"/>
          <w:szCs w:val="24"/>
          <w:lang w:eastAsia="en-US"/>
        </w:rPr>
        <w:t xml:space="preserve"> 2026</w:t>
      </w:r>
      <w:r>
        <w:rPr>
          <w:rFonts w:ascii="PT Astra Serif" w:hAnsi="PT Astra Serif" w:eastAsia="PT Astra Serif" w:cs="PT Astra Serif"/>
          <w:b/>
          <w:bCs/>
          <w:sz w:val="24"/>
          <w:szCs w:val="24"/>
          <w:lang w:eastAsia="en-US"/>
        </w:rPr>
        <w:t xml:space="preserve"> года в 12:00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5.</w:t>
      </w:r>
      <w:r>
        <w:rPr>
          <w:rFonts w:ascii="PT Astra Serif" w:hAnsi="PT Astra Serif" w:eastAsia="PT Astra Serif" w:cs="PT Astra Serif"/>
          <w:b/>
          <w:bCs/>
          <w:sz w:val="24"/>
          <w:szCs w:val="24"/>
          <w:lang w:eastAsia="en-US"/>
        </w:rPr>
        <w:t xml:space="preserve"> Дата и время начала приема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«20</w:t>
      </w:r>
      <w:r>
        <w:rPr>
          <w:rFonts w:ascii="PT Astra Serif" w:hAnsi="PT Astra Serif" w:eastAsia="PT Astra Serif" w:cs="PT Astra Serif"/>
          <w:sz w:val="24"/>
          <w:szCs w:val="24"/>
          <w:lang w:eastAsia="en-US"/>
        </w:rPr>
        <w:t xml:space="preserve">» февраля</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в 12:00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6.</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Дата и время окончания приёма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«23</w:t>
      </w:r>
      <w:r>
        <w:rPr>
          <w:rFonts w:ascii="PT Astra Serif" w:hAnsi="PT Astra Serif" w:eastAsia="PT Astra Serif" w:cs="PT Astra Serif"/>
          <w:sz w:val="24"/>
          <w:szCs w:val="24"/>
          <w:lang w:eastAsia="en-US"/>
        </w:rPr>
        <w:t xml:space="preserve">» марта</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в 18:00 (МСК). </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7. </w:t>
      </w:r>
      <w:r>
        <w:rPr>
          <w:rFonts w:ascii="PT Astra Serif" w:hAnsi="PT Astra Serif" w:eastAsia="PT Astra Serif" w:cs="PT Astra Serif"/>
          <w:b/>
          <w:bCs/>
          <w:sz w:val="24"/>
          <w:szCs w:val="24"/>
          <w:lang w:eastAsia="en-US"/>
        </w:rPr>
        <w:t xml:space="preserve">Дата рассмотрения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«24</w:t>
      </w:r>
      <w:r>
        <w:rPr>
          <w:rFonts w:ascii="PT Astra Serif" w:hAnsi="PT Astra Serif" w:eastAsia="PT Astra Serif" w:cs="PT Astra Serif"/>
          <w:sz w:val="24"/>
          <w:szCs w:val="24"/>
          <w:lang w:eastAsia="en-US"/>
        </w:rPr>
        <w:t xml:space="preserve">» марта</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с 10:00 до 18:00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jc w:val="both"/>
        <w:rPr>
          <w:rFonts w:ascii="PT Astra Serif" w:hAnsi="PT Astra Serif" w:cs="PT Astra Serif"/>
          <w:bCs/>
          <w:sz w:val="24"/>
          <w:szCs w:val="24"/>
        </w:rPr>
      </w:pPr>
      <w:r>
        <w:rPr>
          <w:rFonts w:ascii="PT Astra Serif" w:hAnsi="PT Astra Serif" w:eastAsia="PT Astra Serif" w:cs="PT Astra Serif"/>
          <w:b/>
          <w:bCs/>
          <w:sz w:val="24"/>
          <w:szCs w:val="24"/>
        </w:rPr>
        <w:t xml:space="preserve">8.</w:t>
      </w:r>
      <w:r>
        <w:rPr>
          <w:rFonts w:ascii="PT Astra Serif" w:hAnsi="PT Astra Serif" w:eastAsia="PT Astra Serif" w:cs="PT Astra Serif"/>
          <w:bCs/>
          <w:sz w:val="24"/>
          <w:szCs w:val="24"/>
        </w:rPr>
        <w:t xml:space="preserve">        Извещение о конкурентной процедуре размещается в сети Инте</w:t>
      </w:r>
      <w:r>
        <w:rPr>
          <w:rFonts w:ascii="PT Astra Serif" w:hAnsi="PT Astra Serif" w:eastAsia="PT Astra Serif" w:cs="PT Astra Serif"/>
          <w:bCs/>
          <w:sz w:val="24"/>
          <w:szCs w:val="24"/>
        </w:rPr>
        <w:t xml:space="preserve">рнет на сайте ООО ЭТП ГПБ: </w:t>
      </w:r>
      <w:r>
        <w:rPr>
          <w:rFonts w:ascii="PT Astra Serif" w:hAnsi="PT Astra Serif" w:eastAsia="PT Astra Serif" w:cs="PT Astra Serif"/>
          <w:bCs/>
          <w:sz w:val="24"/>
          <w:szCs w:val="24"/>
        </w:rPr>
        <w:t xml:space="preserve"> </w:t>
      </w:r>
      <w:r>
        <w:rPr>
          <w:rFonts w:ascii="PT Astra Serif" w:hAnsi="PT Astra Serif" w:eastAsia="PT Astra Serif" w:cs="PT Astra Serif"/>
          <w:bCs/>
          <w:sz w:val="24"/>
          <w:szCs w:val="24"/>
        </w:rPr>
      </w:r>
      <w:hyperlink r:id="rId15" w:tooltip="Click to open https://torgi.etpgpb.ru/" w:history="1">
        <w:r>
          <w:rPr>
            <w:rStyle w:val="942"/>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eastAsia="PT Astra Serif" w:cs="PT Astra Serif"/>
          <w:b w:val="0"/>
          <w:bCs w:val="0"/>
          <w:sz w:val="24"/>
          <w:szCs w:val="24"/>
        </w:rPr>
        <w:outlineLvl w:val="0"/>
      </w:pPr>
      <w:r>
        <w:rPr>
          <w:rFonts w:ascii="PT Astra Serif" w:hAnsi="PT Astra Serif" w:eastAsia="PT Astra Serif" w:cs="PT Astra Serif"/>
          <w:b/>
          <w:bCs/>
          <w:sz w:val="24"/>
          <w:szCs w:val="24"/>
        </w:rPr>
        <w:t xml:space="preserve">9.      Предмет конкурентной процедуры в электронной форме</w:t>
      </w:r>
      <w:r>
        <w:rPr>
          <w:rFonts w:ascii="PT Astra Serif" w:hAnsi="PT Astra Serif" w:eastAsia="PT Astra Serif" w:cs="PT Astra Serif"/>
          <w:b/>
          <w:bCs/>
          <w:sz w:val="24"/>
          <w:szCs w:val="24"/>
        </w:rPr>
        <w:t xml:space="preserve">: </w:t>
      </w:r>
      <w:r>
        <w:rPr>
          <w:rFonts w:ascii="PT Astra Serif" w:hAnsi="PT Astra Serif" w:eastAsia="PT Astra Serif" w:cs="PT Astra Serif"/>
          <w:b w:val="0"/>
          <w:bCs w:val="0"/>
          <w:sz w:val="24"/>
          <w:szCs w:val="24"/>
        </w:rPr>
      </w:r>
      <w:r>
        <w:rPr>
          <w:rFonts w:ascii="PT Astra Serif" w:hAnsi="PT Astra Serif" w:eastAsia="PT Astra Serif" w:cs="PT Astra Serif"/>
          <w:b w:val="0"/>
          <w:bCs w:val="0"/>
          <w:sz w:val="24"/>
          <w:szCs w:val="24"/>
        </w:rPr>
      </w:r>
    </w:p>
    <w:p>
      <w:pPr>
        <w:ind w:left="0" w:firstLine="0"/>
        <w:jc w:val="both"/>
        <w:rPr>
          <w:rFonts w:ascii="PT Astra Serif" w:hAnsi="PT Astra Serif"/>
          <w:b/>
          <w:bCs/>
          <w:color w:val="000000"/>
        </w:rPr>
      </w:pPr>
      <w:r>
        <w:rPr>
          <w:rFonts w:ascii="PT Astra Serif" w:hAnsi="PT Astra Serif"/>
          <w:b/>
          <w:bCs/>
          <w:color w:val="000000"/>
        </w:rPr>
      </w:r>
    </w:p>
    <w:p>
      <w:pPr>
        <w:jc w:val="center"/>
        <w:rPr>
          <w:b/>
          <w:bCs/>
          <w:color w:val="000000"/>
          <w:sz w:val="28"/>
          <w:szCs w:val="28"/>
          <w:highlight w:val="none"/>
        </w:rPr>
        <w:outlineLvl w:val="0"/>
      </w:pPr>
      <w:r>
        <w:rPr>
          <w:b/>
          <w:bCs/>
          <w:color w:val="000000"/>
          <w:sz w:val="28"/>
        </w:rPr>
        <w:t xml:space="preserve">Лот №1</w:t>
      </w:r>
      <w:r>
        <w:rPr>
          <w:b/>
          <w:bCs/>
          <w:color w:val="000000"/>
          <w:sz w:val="28"/>
        </w:rPr>
        <w:t xml:space="preserve">4</w:t>
      </w:r>
      <w:r>
        <w:rPr>
          <w:b/>
          <w:bCs/>
          <w:color w:val="000000"/>
          <w:sz w:val="28"/>
          <w:szCs w:val="28"/>
          <w:highlight w:val="none"/>
        </w:rPr>
      </w:r>
    </w:p>
    <w:p>
      <w:pPr>
        <w:jc w:val="center"/>
        <w:rPr>
          <w:b/>
          <w:bCs/>
          <w:color w:val="000000"/>
          <w:sz w:val="28"/>
          <w:szCs w:val="28"/>
        </w:rPr>
        <w:outlineLvl w:val="0"/>
      </w:pPr>
      <w:r>
        <w:rPr>
          <w:b/>
          <w:bCs/>
          <w:color w:val="000000"/>
          <w:sz w:val="28"/>
          <w:highlight w:val="none"/>
        </w:rPr>
      </w:r>
      <w:r>
        <w:rPr>
          <w:b/>
          <w:bCs/>
          <w:color w:val="000000"/>
          <w:sz w:val="28"/>
          <w:szCs w:val="28"/>
        </w:rPr>
      </w:r>
      <w:r>
        <w:rPr>
          <w:b/>
          <w:bCs/>
          <w:color w:val="000000"/>
          <w:sz w:val="28"/>
          <w:szCs w:val="28"/>
        </w:rPr>
      </w:r>
    </w:p>
    <w:p>
      <w:pPr>
        <w:pStyle w:val="971"/>
        <w:ind w:left="0" w:firstLine="709"/>
        <w:jc w:val="both"/>
        <w:rPr>
          <w:rFonts w:ascii="PT Astra Serif" w:hAnsi="PT Astra Serif"/>
          <w:b/>
          <w:bCs/>
        </w:rPr>
      </w:pPr>
      <w:r>
        <w:rPr>
          <w:rFonts w:ascii="PT Astra Serif" w:hAnsi="PT Astra Serif" w:eastAsia="Arial+FPEF"/>
          <w:b/>
          <w:color w:val="000000"/>
        </w:rPr>
        <w:t xml:space="preserve">П</w:t>
      </w:r>
      <w:r>
        <w:rPr>
          <w:rFonts w:ascii="PT Astra Serif" w:hAnsi="PT Astra Serif" w:eastAsia="Arial+FPEF"/>
          <w:b/>
          <w:color w:val="000000"/>
        </w:rPr>
        <w:t xml:space="preserve">родажа </w:t>
      </w:r>
      <w:r>
        <w:rPr>
          <w:rFonts w:ascii="PT Astra Serif" w:hAnsi="PT Astra Serif"/>
          <w:b/>
          <w:bCs/>
          <w:color w:val="000000"/>
        </w:rPr>
        <w:t xml:space="preserve">Здания холодного склада ОРСа, </w:t>
      </w:r>
      <w:r>
        <w:rPr>
          <w:rFonts w:ascii="PT Astra Serif" w:hAnsi="PT Astra Serif"/>
          <w:bCs/>
          <w:color w:val="000000"/>
        </w:rPr>
        <w:t xml:space="preserve">инв.№10600000_0223</w:t>
      </w:r>
      <w:r>
        <w:rPr>
          <w:rFonts w:ascii="PT Astra Serif" w:hAnsi="PT Astra Serif"/>
          <w:b/>
          <w:bCs/>
          <w:color w:val="000000"/>
        </w:rPr>
        <w:t xml:space="preserve">, </w:t>
      </w:r>
      <w:r>
        <w:rPr>
          <w:rFonts w:ascii="PT Astra Serif" w:hAnsi="PT Astra Serif"/>
          <w:bCs/>
          <w:color w:val="000000"/>
        </w:rPr>
        <w:t xml:space="preserve">нежилое строение, общей площадью 594,7 кв.м., этажность –</w:t>
      </w:r>
      <w:r>
        <w:rPr>
          <w:rFonts w:ascii="PT Astra Serif" w:hAnsi="PT Astra Serif"/>
          <w:b/>
          <w:bCs/>
          <w:color w:val="000000"/>
        </w:rPr>
        <w:t xml:space="preserve"> </w:t>
      </w:r>
      <w:r>
        <w:rPr>
          <w:rFonts w:ascii="PT Astra Serif" w:hAnsi="PT Astra Serif"/>
          <w:bCs/>
          <w:color w:val="000000"/>
        </w:rPr>
        <w:t xml:space="preserve">1,</w:t>
      </w:r>
      <w:r>
        <w:rPr>
          <w:rFonts w:ascii="PT Astra Serif" w:hAnsi="PT Astra Serif"/>
          <w:b/>
          <w:bCs/>
          <w:color w:val="000000"/>
        </w:rPr>
        <w:t xml:space="preserve"> </w:t>
      </w:r>
      <w:r>
        <w:rPr>
          <w:rFonts w:ascii="PT Astra Serif" w:hAnsi="PT Astra Serif"/>
          <w:bCs/>
        </w:rPr>
        <w:t xml:space="preserve">адрес объекта: Ханты</w:t>
      </w:r>
      <w:r>
        <w:rPr>
          <w:rFonts w:ascii="PT Astra Serif" w:hAnsi="PT Astra Serif"/>
          <w:b/>
          <w:bCs/>
        </w:rPr>
        <w:t xml:space="preserve">—</w:t>
      </w:r>
      <w:r>
        <w:rPr>
          <w:rFonts w:ascii="PT Astra Serif" w:hAnsi="PT Astra Serif"/>
          <w:bCs/>
        </w:rPr>
        <w:t xml:space="preserve">Мансийский автономный округ-Югра, Октябрьский р-н, </w:t>
      </w:r>
      <w:r>
        <w:rPr>
          <w:rFonts w:ascii="PT Astra Serif" w:hAnsi="PT Astra Serif"/>
          <w:b/>
          <w:bCs/>
        </w:rPr>
        <w:t xml:space="preserve">с. п. Перегребное. </w:t>
      </w:r>
      <w:r>
        <w:rPr>
          <w:rFonts w:ascii="PT Astra Serif" w:hAnsi="PT Astra Serif"/>
          <w:bCs/>
        </w:rPr>
        <w:t xml:space="preserve">Кадастровый номер </w:t>
      </w:r>
      <w:r>
        <w:rPr>
          <w:rFonts w:ascii="PT Astra Serif" w:hAnsi="PT Astra Serif"/>
          <w:color w:val="000000"/>
        </w:rPr>
        <w:t xml:space="preserve">86:07:0102004:4346.</w:t>
      </w:r>
      <w:r>
        <w:rPr>
          <w:rFonts w:ascii="PT Astra Serif" w:hAnsi="PT Astra Serif"/>
          <w:b/>
          <w:bCs/>
        </w:rPr>
      </w:r>
      <w:r>
        <w:rPr>
          <w:rFonts w:ascii="PT Astra Serif" w:hAnsi="PT Astra Serif"/>
          <w:b/>
          <w:bCs/>
        </w:rPr>
      </w:r>
    </w:p>
    <w:p>
      <w:pPr>
        <w:ind w:firstLine="709"/>
        <w:jc w:val="both"/>
        <w:rPr>
          <w:rFonts w:ascii="PT Astra Serif" w:hAnsi="PT Astra Serif"/>
        </w:rPr>
      </w:pPr>
      <w:r>
        <w:rPr>
          <w:rFonts w:ascii="PT Astra Serif" w:hAnsi="PT Astra Serif"/>
        </w:rPr>
        <w:t xml:space="preserve">Имущество расположено на земельном участке, общей площадью 489 кв. м. Земельный участок находится в аренде у ООО «Газпром трансгаз Югорск» до 14.08.2033 года на основании договора аренды № 44 от 17.07.2009г.</w:t>
      </w:r>
      <w:r>
        <w:rPr>
          <w:rFonts w:ascii="PT Astra Serif" w:hAnsi="PT Astra Serif"/>
        </w:rPr>
      </w:r>
      <w:r>
        <w:rPr>
          <w:rFonts w:ascii="PT Astra Serif" w:hAnsi="PT Astra Serif"/>
        </w:rPr>
      </w:r>
    </w:p>
    <w:p>
      <w:pPr>
        <w:ind w:firstLine="709"/>
        <w:jc w:val="both"/>
        <w:tabs>
          <w:tab w:val="left" w:pos="0" w:leader="none"/>
        </w:tabs>
        <w:rPr>
          <w:rFonts w:ascii="PT Astra Serif" w:hAnsi="PT Astra Serif"/>
        </w:rPr>
      </w:pPr>
      <w:r>
        <w:rPr>
          <w:rFonts w:ascii="PT Astra Serif" w:hAnsi="PT Astra Serif"/>
          <w:bCs/>
        </w:rPr>
        <w:t xml:space="preserve">Технические характеристики объекта: </w:t>
      </w:r>
      <w:r>
        <w:rPr>
          <w:rFonts w:ascii="PT Astra Serif" w:hAnsi="PT Astra Serif"/>
        </w:rPr>
        <w:t xml:space="preserve">одноэтажное здание, отдельно стоящее здание. Площадь - 630,6м2, Длина - 36,24м. Ширина - 17,4м. Высота - 3,4/8,6 м. Фундаменты - бетонные, стены - бетонные, металлические, кровля- металлические.</w:t>
      </w:r>
      <w:r>
        <w:rPr>
          <w:rFonts w:ascii="PT Astra Serif" w:hAnsi="PT Astra Serif"/>
        </w:rPr>
      </w:r>
      <w:r>
        <w:rPr>
          <w:rFonts w:ascii="PT Astra Serif" w:hAnsi="PT Astra Serif"/>
        </w:rPr>
      </w:r>
    </w:p>
    <w:p>
      <w:pPr>
        <w:jc w:val="both"/>
        <w:rPr>
          <w:rFonts w:ascii="PT Astra Serif" w:hAnsi="PT Astra Serif"/>
        </w:rPr>
      </w:pPr>
      <w:r>
        <w:rPr>
          <w:rFonts w:ascii="PT Astra Serif" w:hAnsi="PT Astra Serif"/>
        </w:rPr>
        <w:t xml:space="preserve">Обременения отсутствуют.</w:t>
      </w:r>
      <w:r>
        <w:rPr>
          <w:rFonts w:ascii="PT Astra Serif" w:hAnsi="PT Astra Serif"/>
        </w:rPr>
      </w:r>
      <w:r>
        <w:rPr>
          <w:rFonts w:ascii="PT Astra Serif" w:hAnsi="PT Astra Serif"/>
        </w:rPr>
      </w:r>
    </w:p>
    <w:tbl>
      <w:tblPr>
        <w:tblStyle w:val="986"/>
        <w:tblW w:w="0" w:type="auto"/>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val="04A0" w:firstRow="1" w:lastRow="0" w:firstColumn="1" w:lastColumn="0" w:noHBand="0" w:noVBand="1"/>
      </w:tblPr>
      <w:tblGrid>
        <w:gridCol w:w="3681"/>
        <w:gridCol w:w="6374"/>
      </w:tblGrid>
      <w:tr>
        <w:tblPrEx/>
        <w:trPr/>
        <w:tc>
          <w:tcPr>
            <w:tcW w:w="3681" w:type="dxa"/>
            <w:vMerge w:val="restart"/>
            <w:textDirection w:val="lrTb"/>
            <w:noWrap w:val="false"/>
          </w:tcPr>
          <w:p>
            <w:pPr>
              <w:pStyle w:val="943"/>
              <w:jc w:val="left"/>
              <w:spacing w:after="0"/>
              <w:tabs>
                <w:tab w:val="left" w:pos="0" w:leader="none"/>
              </w:tabs>
              <w:rPr>
                <w:rFonts w:ascii="PT Astra Serif" w:hAnsi="PT Astra Serif" w:cs="PT Astra Serif"/>
                <w:b/>
                <w:bCs/>
                <w:highlight w:val="none"/>
              </w:rPr>
            </w:pPr>
            <w:r>
              <w:rPr>
                <w:rFonts w:ascii="PT Astra Serif" w:hAnsi="PT Astra Serif" w:eastAsia="PT Astra Serif" w:cs="PT Astra Serif"/>
                <w:b/>
                <w:bCs/>
                <w:sz w:val="24"/>
                <w:szCs w:val="24"/>
              </w:rPr>
              <w:t xml:space="preserve">Цена первоначального предложения лота №14:</w:t>
            </w:r>
            <w:r>
              <w:rPr>
                <w:rFonts w:ascii="PT Astra Serif" w:hAnsi="PT Astra Serif" w:cs="PT Astra Serif"/>
                <w:b/>
                <w:bCs/>
                <w:highlight w:val="none"/>
              </w:rPr>
            </w:r>
            <w:r>
              <w:rPr>
                <w:rFonts w:ascii="PT Astra Serif" w:hAnsi="PT Astra Serif" w:cs="PT Astra Serif"/>
                <w:b/>
                <w:bCs/>
                <w:highlight w:val="none"/>
              </w:rPr>
            </w:r>
          </w:p>
        </w:tc>
        <w:tc>
          <w:tcPr>
            <w:tcW w:w="6374" w:type="dxa"/>
            <w:textDirection w:val="lrTb"/>
            <w:noWrap w:val="false"/>
          </w:tcPr>
          <w:p>
            <w:pPr>
              <w:jc w:val="both"/>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eastAsia="PT Astra Serif" w:cs="PT Astra Serif"/>
                <w:b/>
                <w:bCs/>
                <w:sz w:val="24"/>
                <w:szCs w:val="24"/>
              </w:rPr>
              <w:t xml:space="preserve">549 000 руб. 00  коп.</w:t>
            </w:r>
            <w:r>
              <w:rPr>
                <w:rFonts w:ascii="PT Astra Serif" w:hAnsi="PT Astra Serif" w:eastAsia="PT Astra Serif" w:cs="PT Astra Serif"/>
                <w:b/>
                <w:bCs/>
                <w:sz w:val="24"/>
                <w:szCs w:val="24"/>
              </w:rPr>
              <w:t xml:space="preserve"> с учетом НДС</w:t>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rPr>
            </w:pPr>
            <w:r>
              <w:rPr>
                <w:rFonts w:ascii="PT Astra Serif" w:hAnsi="PT Astra Serif" w:eastAsia="PT Astra Serif" w:cs="PT Astra Serif"/>
                <w:b/>
                <w:bCs/>
                <w:sz w:val="24"/>
                <w:szCs w:val="24"/>
                <w:highlight w:val="none"/>
              </w:rPr>
            </w:r>
            <w:r>
              <w:rPr>
                <w:rFonts w:ascii="PT Astra Serif" w:hAnsi="PT Astra Serif" w:cs="PT Astra Serif"/>
                <w:b/>
                <w:bCs/>
              </w:rPr>
            </w:r>
            <w:r>
              <w:rPr>
                <w:rFonts w:ascii="PT Astra Serif" w:hAnsi="PT Astra Serif" w:cs="PT Astra Serif"/>
                <w:b/>
                <w:bCs/>
              </w:rPr>
            </w:r>
          </w:p>
        </w:tc>
      </w:tr>
      <w:tr>
        <w:tblPrEx/>
        <w:trPr/>
        <w:tc>
          <w:tcPr>
            <w:tcW w:w="3681" w:type="dxa"/>
            <w:vMerge w:val="restart"/>
            <w:textDirection w:val="lrTb"/>
            <w:noWrap w:val="false"/>
          </w:tcPr>
          <w:p>
            <w:pPr>
              <w:pStyle w:val="943"/>
              <w:jc w:val="left"/>
              <w:spacing w:after="0"/>
              <w:tabs>
                <w:tab w:val="left" w:pos="0" w:leader="none"/>
              </w:tabs>
              <w:rPr>
                <w:rFonts w:ascii="PT Astra Serif" w:hAnsi="PT Astra Serif" w:cs="PT Astra Serif"/>
                <w:b/>
                <w:bCs/>
                <w:highlight w:val="none"/>
              </w:rPr>
            </w:pPr>
            <w:r>
              <w:rPr>
                <w:rFonts w:ascii="PT Astra Serif" w:hAnsi="PT Astra Serif" w:eastAsia="PT Astra Serif" w:cs="PT Astra Serif"/>
                <w:b/>
                <w:bCs/>
                <w:sz w:val="24"/>
                <w:szCs w:val="24"/>
                <w:lang w:eastAsia="en-US"/>
              </w:rPr>
              <w:t xml:space="preserve">Минимальная цена предложения (цена отсечения):</w:t>
            </w:r>
            <w:r>
              <w:rPr>
                <w:rFonts w:ascii="PT Astra Serif" w:hAnsi="PT Astra Serif" w:cs="PT Astra Serif"/>
                <w:b/>
                <w:bCs/>
                <w:highlight w:val="none"/>
              </w:rPr>
            </w:r>
            <w:r>
              <w:rPr>
                <w:rFonts w:ascii="PT Astra Serif" w:hAnsi="PT Astra Serif" w:cs="PT Astra Serif"/>
                <w:b/>
                <w:bCs/>
                <w:highlight w:val="none"/>
              </w:rPr>
            </w:r>
          </w:p>
          <w:p>
            <w:pPr>
              <w:pStyle w:val="943"/>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
                <w:bCs/>
              </w:rPr>
            </w:pPr>
            <w:r>
              <w:rPr>
                <w:rFonts w:ascii="PT Astra Serif" w:hAnsi="PT Astra Serif" w:eastAsia="PT Astra Serif" w:cs="PT Astra Serif"/>
                <w:b/>
                <w:bCs/>
                <w:sz w:val="24"/>
                <w:szCs w:val="24"/>
                <w:lang w:eastAsia="en-US"/>
              </w:rPr>
            </w:r>
            <w:r>
              <w:rPr>
                <w:rFonts w:ascii="PT Astra Serif" w:hAnsi="PT Astra Serif" w:cs="PT Astra Serif"/>
                <w:b/>
                <w:bCs/>
              </w:rPr>
            </w:r>
            <w:r>
              <w:rPr>
                <w:rFonts w:ascii="PT Astra Serif" w:hAnsi="PT Astra Serif" w:cs="PT Astra Serif"/>
                <w:b/>
                <w:bCs/>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eastAsia="PT Astra Serif" w:cs="PT Astra Serif"/>
                <w:b/>
                <w:bCs/>
                <w:sz w:val="24"/>
                <w:szCs w:val="24"/>
              </w:rPr>
              <w:t xml:space="preserve">494 100 руб. 00  коп.</w:t>
            </w:r>
            <w:r>
              <w:rPr>
                <w:rFonts w:ascii="PT Astra Serif" w:hAnsi="PT Astra Serif" w:eastAsia="PT Astra Serif" w:cs="PT Astra Serif"/>
                <w:b/>
                <w:bCs/>
                <w:sz w:val="24"/>
                <w:szCs w:val="24"/>
              </w:rPr>
              <w:t xml:space="preserve"> с учетом НДС</w:t>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rPr>
            </w:pPr>
            <w:r>
              <w:rPr>
                <w:rFonts w:ascii="PT Astra Serif" w:hAnsi="PT Astra Serif" w:eastAsia="PT Astra Serif" w:cs="PT Astra Serif"/>
                <w:b/>
                <w:bCs/>
                <w:sz w:val="24"/>
                <w:szCs w:val="24"/>
                <w:highlight w:val="none"/>
              </w:rPr>
            </w:r>
            <w:r>
              <w:rPr>
                <w:rFonts w:ascii="PT Astra Serif" w:hAnsi="PT Astra Serif" w:cs="PT Astra Serif"/>
                <w:b/>
                <w:bCs/>
              </w:rPr>
            </w:r>
            <w:r>
              <w:rPr>
                <w:rFonts w:ascii="PT Astra Serif" w:hAnsi="PT Astra Serif" w:cs="PT Astra Serif"/>
                <w:b/>
                <w:bCs/>
              </w:rPr>
            </w:r>
          </w:p>
        </w:tc>
      </w:tr>
      <w:tr>
        <w:tblPrEx/>
        <w:trPr/>
        <w:tc>
          <w:tcPr>
            <w:tcW w:w="3681" w:type="dxa"/>
            <w:textDirection w:val="lrTb"/>
            <w:noWrap w:val="false"/>
          </w:tcPr>
          <w:p>
            <w:pPr>
              <w:pStyle w:val="943"/>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lang w:eastAsia="en-US"/>
              </w:rPr>
              <w:t xml:space="preserve">Шаг понижения </w:t>
            </w:r>
            <w:r>
              <w:rPr>
                <w:rFonts w:ascii="PT Astra Serif" w:hAnsi="PT Astra Serif" w:eastAsia="PT Astra Serif" w:cs="PT Astra Serif"/>
                <w:b/>
                <w:bCs/>
                <w:sz w:val="24"/>
                <w:szCs w:val="24"/>
                <w:lang w:eastAsia="en-US"/>
              </w:rPr>
              <w:t xml:space="preserve">цены:  </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Cs/>
              </w:rPr>
            </w:pPr>
            <w:r>
              <w:rPr>
                <w:rFonts w:ascii="PT Astra Serif" w:hAnsi="PT Astra Serif" w:eastAsia="PT Astra Serif" w:cs="PT Astra Serif"/>
                <w:bCs/>
                <w:sz w:val="24"/>
                <w:szCs w:val="24"/>
                <w:lang w:eastAsia="en-US"/>
              </w:rPr>
              <w:t xml:space="preserve">1% (один процент) от начальной цены лота.</w:t>
            </w:r>
            <w:r>
              <w:rPr>
                <w:rFonts w:ascii="PT Astra Serif" w:hAnsi="PT Astra Serif" w:cs="PT Astra Serif"/>
                <w:bCs/>
              </w:rPr>
            </w:r>
            <w:r>
              <w:rPr>
                <w:rFonts w:ascii="PT Astra Serif" w:hAnsi="PT Astra Serif" w:cs="PT Astra Serif"/>
                <w:bCs/>
              </w:rPr>
            </w:r>
          </w:p>
          <w:p>
            <w:pPr>
              <w:pStyle w:val="943"/>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tc>
      </w:tr>
      <w:tr>
        <w:tblPrEx/>
        <w:trPr/>
        <w:tc>
          <w:tcPr>
            <w:tcW w:w="3681" w:type="dxa"/>
            <w:textDirection w:val="lrTb"/>
            <w:noWrap w:val="false"/>
          </w:tcPr>
          <w:p>
            <w:pPr>
              <w:pStyle w:val="943"/>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lang w:eastAsia="en-US"/>
              </w:rPr>
              <w:t xml:space="preserve">Шаг повышения цены:</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Cs/>
              </w:rPr>
            </w:pPr>
            <w:r>
              <w:rPr>
                <w:rFonts w:ascii="PT Astra Serif" w:hAnsi="PT Astra Serif" w:eastAsia="PT Astra Serif" w:cs="PT Astra Serif"/>
                <w:bCs/>
                <w:sz w:val="24"/>
                <w:szCs w:val="24"/>
                <w:lang w:eastAsia="en-US"/>
              </w:rPr>
              <w:t xml:space="preserve">1 % (один процент) от начальной цены лота. </w:t>
            </w:r>
            <w:r>
              <w:rPr>
                <w:rFonts w:ascii="PT Astra Serif" w:hAnsi="PT Astra Serif" w:cs="PT Astra Serif"/>
                <w:bCs/>
              </w:rPr>
            </w:r>
            <w:r>
              <w:rPr>
                <w:rFonts w:ascii="PT Astra Serif" w:hAnsi="PT Astra Serif" w:cs="PT Astra Serif"/>
                <w:bCs/>
              </w:rPr>
            </w:r>
          </w:p>
          <w:p>
            <w:pPr>
              <w:jc w:val="both"/>
              <w:rPr>
                <w:rFonts w:ascii="PT Astra Serif" w:hAnsi="PT Astra Serif" w:cs="PT Astra Serif"/>
                <w:bCs/>
              </w:rPr>
            </w:pPr>
            <w:r>
              <w:rPr>
                <w:rFonts w:ascii="PT Astra Serif" w:hAnsi="PT Astra Serif" w:eastAsia="PT Astra Serif" w:cs="PT Astra Serif"/>
                <w:bCs/>
                <w:sz w:val="24"/>
                <w:szCs w:val="24"/>
                <w:lang w:eastAsia="en-US"/>
              </w:rPr>
            </w:r>
            <w:r>
              <w:rPr>
                <w:rFonts w:ascii="PT Astra Serif" w:hAnsi="PT Astra Serif" w:cs="PT Astra Serif"/>
                <w:bCs/>
              </w:rPr>
            </w:r>
            <w:r>
              <w:rPr>
                <w:rFonts w:ascii="PT Astra Serif" w:hAnsi="PT Astra Serif" w:cs="PT Astra Serif"/>
                <w:bCs/>
              </w:rPr>
            </w:r>
          </w:p>
        </w:tc>
      </w:tr>
      <w:tr>
        <w:tblPrEx/>
        <w:trPr/>
        <w:tc>
          <w:tcPr>
            <w:tcW w:w="3681" w:type="dxa"/>
            <w:textDirection w:val="lrTb"/>
            <w:noWrap w:val="false"/>
          </w:tcPr>
          <w:p>
            <w:pPr>
              <w:pStyle w:val="943"/>
              <w:jc w:val="left"/>
              <w:spacing w:after="0"/>
              <w:tabs>
                <w:tab w:val="left" w:pos="0" w:leader="none"/>
              </w:tabs>
              <w:rPr>
                <w:rFonts w:ascii="PT Astra Serif" w:hAnsi="PT Astra Serif" w:cs="PT Astra Serif"/>
                <w:b/>
                <w:bCs/>
              </w:rPr>
            </w:pPr>
            <w:r>
              <w:rPr>
                <w:rFonts w:ascii="PT Astra Serif" w:hAnsi="PT Astra Serif" w:eastAsia="PT Astra Serif" w:cs="PT Astra Serif"/>
                <w:b/>
                <w:bCs/>
                <w:color w:val="000000"/>
                <w:sz w:val="24"/>
                <w:szCs w:val="24"/>
                <w:lang w:eastAsia="en-US"/>
              </w:rPr>
              <w:t xml:space="preserve">Размер </w:t>
            </w:r>
            <w:r>
              <w:rPr>
                <w:rFonts w:ascii="PT Astra Serif" w:hAnsi="PT Astra Serif" w:eastAsia="PT Astra Serif" w:cs="PT Astra Serif"/>
                <w:b/>
                <w:bCs/>
                <w:color w:val="000000"/>
                <w:sz w:val="24"/>
                <w:szCs w:val="24"/>
                <w:lang w:eastAsia="en-US"/>
              </w:rPr>
              <w:t xml:space="preserve">задатка:   </w:t>
            </w:r>
            <w:r>
              <w:rPr>
                <w:rFonts w:ascii="PT Astra Serif" w:hAnsi="PT Astra Serif" w:eastAsia="PT Astra Serif" w:cs="PT Astra Serif"/>
                <w:b/>
                <w:bCs/>
                <w:color w:val="000000"/>
                <w:sz w:val="24"/>
                <w:szCs w:val="24"/>
                <w:lang w:eastAsia="en-US"/>
              </w:rPr>
              <w:t xml:space="preserve">           </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tabs>
                <w:tab w:val="left" w:pos="0" w:leader="none"/>
              </w:tabs>
              <w:rPr>
                <w:rFonts w:ascii="PT Astra Serif" w:hAnsi="PT Astra Serif" w:cs="PT Astra Serif"/>
                <w:bCs/>
              </w:rPr>
            </w:pPr>
            <w:r>
              <w:rPr>
                <w:rFonts w:ascii="PT Astra Serif" w:hAnsi="PT Astra Serif" w:eastAsia="PT Astra Serif" w:cs="PT Astra Serif"/>
                <w:bCs/>
                <w:color w:val="000000"/>
                <w:sz w:val="24"/>
                <w:szCs w:val="24"/>
                <w:lang w:eastAsia="en-US"/>
              </w:rPr>
              <w:t xml:space="preserve">10 </w:t>
            </w:r>
            <w:r>
              <w:rPr>
                <w:rFonts w:ascii="PT Astra Serif" w:hAnsi="PT Astra Serif" w:eastAsia="PT Astra Serif" w:cs="PT Astra Serif"/>
                <w:bCs/>
                <w:sz w:val="24"/>
                <w:szCs w:val="24"/>
                <w:lang w:eastAsia="en-US"/>
              </w:rPr>
              <w:t xml:space="preserve">% (десять процентов) от начальной цены лота (НДС не облагается).</w:t>
            </w:r>
            <w:r>
              <w:rPr>
                <w:rFonts w:ascii="PT Astra Serif" w:hAnsi="PT Astra Serif" w:cs="PT Astra Serif"/>
                <w:bCs/>
              </w:rPr>
            </w:r>
            <w:r>
              <w:rPr>
                <w:rFonts w:ascii="PT Astra Serif" w:hAnsi="PT Astra Serif" w:cs="PT Astra Serif"/>
                <w:bCs/>
              </w:rPr>
            </w:r>
          </w:p>
        </w:tc>
      </w:tr>
    </w:tbl>
    <w:p>
      <w:pPr>
        <w:pStyle w:val="964"/>
        <w:jc w:val="both"/>
        <w:tabs>
          <w:tab w:val="left" w:pos="548" w:leader="none"/>
        </w:tabs>
        <w:rPr>
          <w:rFonts w:ascii="PT Astra Serif" w:hAnsi="PT Astra Serif" w:eastAsia="PT Astra Serif" w:cs="PT Astra Serif"/>
          <w:b/>
          <w:bCs/>
          <w:sz w:val="28"/>
          <w:szCs w:val="28"/>
        </w:rPr>
      </w:pPr>
      <w:r>
        <w:rPr>
          <w:rFonts w:ascii="PT Astra Serif" w:hAnsi="PT Astra Serif" w:eastAsia="PT Astra Serif" w:cs="PT Astra Serif"/>
          <w:b/>
          <w:bCs/>
          <w:sz w:val="28"/>
          <w:szCs w:val="28"/>
          <w:highlight w:val="none"/>
        </w:rPr>
      </w:r>
      <w:r>
        <w:rPr>
          <w:rFonts w:ascii="PT Astra Serif" w:hAnsi="PT Astra Serif" w:eastAsia="PT Astra Serif" w:cs="PT Astra Serif"/>
          <w:b/>
          <w:bCs/>
          <w:sz w:val="28"/>
          <w:szCs w:val="28"/>
          <w:highlight w:val="none"/>
        </w:rPr>
      </w:r>
    </w:p>
    <w:p>
      <w:pPr>
        <w:ind w:left="0" w:firstLine="0"/>
        <w:jc w:val="both"/>
        <w:rPr>
          <w:rFonts w:ascii="PT Astra Serif" w:hAnsi="PT Astra Serif" w:cs="PT Astra Serif"/>
          <w:sz w:val="24"/>
          <w:szCs w:val="24"/>
          <w14:ligatures w14:val="none"/>
        </w:rPr>
      </w:pPr>
      <w:r>
        <w:rPr>
          <w:highlight w:val="none"/>
        </w:rPr>
      </w:r>
      <w:r>
        <w:rPr>
          <w:rFonts w:ascii="PT Astra Serif" w:hAnsi="PT Astra Serif" w:cs="PT Astra Serif"/>
          <w:sz w:val="24"/>
          <w:szCs w:val="24"/>
          <w14:ligatures w14:val="none"/>
        </w:rPr>
      </w:r>
      <w:r>
        <w:rPr>
          <w:rFonts w:ascii="PT Astra Serif" w:hAnsi="PT Astra Serif" w:cs="PT Astra Serif"/>
          <w:sz w:val="24"/>
          <w:szCs w:val="24"/>
          <w14:ligatures w14:val="none"/>
        </w:rPr>
      </w:r>
    </w:p>
    <w:p>
      <w:pPr>
        <w:jc w:val="both"/>
        <w:tabs>
          <w:tab w:val="left" w:pos="0" w:leader="none"/>
        </w:tabs>
        <w:rPr>
          <w:rFonts w:ascii="PT Astra Serif" w:hAnsi="PT Astra Serif" w:eastAsia="Calibri"/>
          <w:bCs/>
          <w:lang w:eastAsia="en-US"/>
        </w:rPr>
      </w:pPr>
      <w:r>
        <w:rPr>
          <w:rFonts w:ascii="PT Astra Serif" w:hAnsi="PT Astra Serif" w:eastAsia="Calibri"/>
          <w:bCs/>
          <w:lang w:eastAsia="en-US"/>
        </w:rPr>
      </w:r>
      <w:r>
        <w:rPr>
          <w:rFonts w:ascii="PT Astra Serif" w:hAnsi="PT Astra Serif" w:eastAsia="Calibri"/>
          <w:bCs/>
          <w:lang w:eastAsia="en-US"/>
        </w:rPr>
      </w:r>
      <w:r>
        <w:rPr>
          <w:rFonts w:ascii="PT Astra Serif" w:hAnsi="PT Astra Serif" w:eastAsia="Calibri"/>
          <w:bCs/>
          <w:lang w:eastAsia="en-US"/>
        </w:rPr>
      </w:r>
    </w:p>
    <w:p>
      <w:pPr>
        <w:pStyle w:val="943"/>
        <w:contextualSpacing/>
        <w:ind w:left="0" w:right="0" w:firstLine="0"/>
        <w:jc w:val="center"/>
        <w:spacing w:after="0"/>
        <w:tabs>
          <w:tab w:val="left" w:pos="0" w:leader="none"/>
        </w:tabs>
        <w:rPr>
          <w:rFonts w:ascii="PT Astra Serif" w:hAnsi="PT Astra Serif"/>
          <w:b/>
          <w:bCs/>
          <w:highlight w:val="none"/>
        </w:rPr>
      </w:pPr>
      <w:r>
        <w:rPr>
          <w:rFonts w:ascii="PT Astra Serif" w:hAnsi="PT Astra Serif" w:eastAsia="Calibri"/>
          <w:color w:val="000000"/>
        </w:rPr>
      </w:r>
      <w:r>
        <w:rPr>
          <w:rFonts w:ascii="PT Astra Serif" w:hAnsi="PT Astra Serif" w:eastAsia="Calibri"/>
          <w:color w:val="000000"/>
        </w:rPr>
        <w:t xml:space="preserve"> </w:t>
      </w:r>
      <w:r>
        <w:rPr>
          <w:rFonts w:ascii="PT Astra Serif" w:hAnsi="PT Astra Serif" w:eastAsia="Arial+FPEF"/>
          <w:b/>
          <w:color w:val="000000"/>
        </w:rPr>
        <w:t xml:space="preserve">  </w:t>
      </w:r>
      <w:r>
        <mc:AlternateContent>
          <mc:Choice Requires="wpg">
            <w:drawing>
              <wp:inline xmlns:wp="http://schemas.openxmlformats.org/drawingml/2006/wordprocessingDrawing" distT="0" distB="0" distL="0" distR="0">
                <wp:extent cx="2727035" cy="2047407"/>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71261" name=""/>
                        <pic:cNvPicPr>
                          <a:picLocks noChangeAspect="1"/>
                        </pic:cNvPicPr>
                        <pic:nvPr/>
                      </pic:nvPicPr>
                      <pic:blipFill>
                        <a:blip r:embed="rId16"/>
                        <a:stretch/>
                      </pic:blipFill>
                      <pic:spPr bwMode="auto">
                        <a:xfrm flipH="0" flipV="0">
                          <a:off x="0" y="0"/>
                          <a:ext cx="2727035" cy="2047406"/>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14.73pt;height:161.21pt;mso-wrap-distance-left:0.00pt;mso-wrap-distance-top:0.00pt;mso-wrap-distance-right:0.00pt;mso-wrap-distance-bottom:0.00pt;" stroked="false">
                <v:path textboxrect="0,0,0,0"/>
                <v:imagedata r:id="rId16" o:title=""/>
              </v:shape>
            </w:pict>
          </mc:Fallback>
        </mc:AlternateContent>
      </w:r>
      <w:r>
        <w:rPr>
          <w:rFonts w:ascii="PT Astra Serif" w:hAnsi="PT Astra Serif"/>
          <w:b/>
          <w:bCs/>
        </w:rPr>
        <w:t xml:space="preserve">  </w:t>
      </w:r>
      <w:r>
        <mc:AlternateContent>
          <mc:Choice Requires="wpg">
            <w:drawing>
              <wp:inline xmlns:wp="http://schemas.openxmlformats.org/drawingml/2006/wordprocessingDrawing" distT="0" distB="0" distL="0" distR="0">
                <wp:extent cx="2748370" cy="2063425"/>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799771" name=""/>
                        <pic:cNvPicPr>
                          <a:picLocks noChangeAspect="1"/>
                        </pic:cNvPicPr>
                        <pic:nvPr/>
                      </pic:nvPicPr>
                      <pic:blipFill>
                        <a:blip r:embed="rId17"/>
                        <a:stretch/>
                      </pic:blipFill>
                      <pic:spPr bwMode="auto">
                        <a:xfrm flipH="0" flipV="0">
                          <a:off x="0" y="0"/>
                          <a:ext cx="2748370" cy="2063424"/>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216.41pt;height:162.47pt;mso-wrap-distance-left:0.00pt;mso-wrap-distance-top:0.00pt;mso-wrap-distance-right:0.00pt;mso-wrap-distance-bottom:0.00pt;" stroked="false">
                <v:path textboxrect="0,0,0,0"/>
                <v:imagedata r:id="rId17" o:title=""/>
              </v:shape>
            </w:pict>
          </mc:Fallback>
        </mc:AlternateContent>
      </w:r>
      <w:r>
        <w:rPr>
          <w:rFonts w:ascii="PT Astra Serif" w:hAnsi="PT Astra Serif"/>
          <w:b/>
          <w:bCs/>
          <w:highlight w:val="none"/>
        </w:rPr>
      </w:r>
      <w:r>
        <w:rPr>
          <w:rFonts w:ascii="PT Astra Serif" w:hAnsi="PT Astra Serif"/>
          <w:b/>
          <w:bCs/>
          <w:highlight w:val="none"/>
        </w:rPr>
      </w:r>
    </w:p>
    <w:p>
      <w:pPr>
        <w:pStyle w:val="971"/>
        <w:ind w:left="360"/>
        <w:jc w:val="both"/>
        <w:tabs>
          <w:tab w:val="left" w:pos="0" w:leader="none"/>
        </w:tabs>
        <w:rPr>
          <w:rFonts w:ascii="PT Astra Serif" w:hAnsi="PT Astra Serif"/>
          <w:bCs/>
          <w:color w:val="000000"/>
        </w:rPr>
      </w:pPr>
      <w:r>
        <w:rPr>
          <w:rFonts w:ascii="PT Astra Serif" w:hAnsi="PT Astra Serif"/>
          <w:bCs/>
          <w:color w:val="000000"/>
        </w:rPr>
      </w:r>
      <w:r>
        <w:rPr>
          <w:rFonts w:ascii="PT Astra Serif" w:hAnsi="PT Astra Serif"/>
          <w:bCs/>
          <w:color w:val="000000"/>
        </w:rPr>
      </w:r>
      <w:r>
        <w:rPr>
          <w:rFonts w:ascii="PT Astra Serif" w:hAnsi="PT Astra Serif"/>
          <w:bCs/>
          <w:color w:val="000000"/>
        </w:rPr>
      </w:r>
    </w:p>
    <w:p>
      <w:pPr>
        <w:pStyle w:val="971"/>
        <w:ind w:left="360"/>
        <w:jc w:val="both"/>
        <w:tabs>
          <w:tab w:val="left" w:pos="0" w:leader="none"/>
        </w:tabs>
        <w:rPr>
          <w:rFonts w:ascii="PT Astra Serif" w:hAnsi="PT Astra Serif"/>
          <w:b/>
          <w:bCs/>
        </w:rPr>
      </w:pPr>
      <w:r>
        <w:rPr>
          <w:rFonts w:ascii="PT Astra Serif" w:hAnsi="PT Astra Serif"/>
          <w:b/>
          <w:bCs/>
        </w:rPr>
      </w:r>
      <w:r>
        <w:rPr>
          <w:rFonts w:ascii="PT Astra Serif" w:hAnsi="PT Astra Serif"/>
          <w:b/>
          <w:bCs/>
        </w:rPr>
      </w:r>
      <w:r>
        <w:rPr>
          <w:rFonts w:ascii="PT Astra Serif" w:hAnsi="PT Astra Serif"/>
          <w:b/>
          <w:bCs/>
        </w:rPr>
      </w:r>
    </w:p>
    <w:p>
      <w:pPr>
        <w:pStyle w:val="970"/>
        <w:ind w:left="0" w:firstLine="0"/>
        <w:jc w:val="both"/>
        <w:tabs>
          <w:tab w:val="left" w:pos="0" w:leader="none"/>
        </w:tabs>
        <w:rPr>
          <w:rFonts w:ascii="PT Astra Serif" w:hAnsi="PT Astra Serif" w:cs="PT Astra Serif"/>
          <w:sz w:val="24"/>
          <w:szCs w:val="24"/>
        </w:rPr>
      </w:pPr>
      <w:r>
        <w:rPr>
          <w:rFonts w:ascii="PT Astra Serif" w:hAnsi="PT Astra Serif" w:eastAsia="PT Astra Serif" w:cs="PT Astra Serif"/>
          <w:b/>
          <w:bCs/>
          <w:sz w:val="24"/>
          <w:szCs w:val="24"/>
        </w:rPr>
        <w:t xml:space="preserve">10. Порядок внесения задатка и возврата: в соответствии с документацией о публичном предложении в электронной форме и регламентом ЭТП ГПБ </w:t>
      </w:r>
      <w:r>
        <w:rPr>
          <w:rFonts w:ascii="PT Astra Serif" w:hAnsi="PT Astra Serif" w:eastAsia="PT Astra Serif" w:cs="PT Astra Serif"/>
          <w:bCs/>
          <w:sz w:val="24"/>
          <w:szCs w:val="24"/>
        </w:rPr>
      </w:r>
      <w:hyperlink r:id="rId18" w:tooltip="Click to open https://torgi.etpgpb.ru/" w:history="1">
        <w:r>
          <w:rPr>
            <w:rStyle w:val="942"/>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sz w:val="24"/>
          <w:szCs w:val="24"/>
        </w:rPr>
      </w:r>
      <w:r>
        <w:rPr>
          <w:rFonts w:ascii="PT Astra Serif" w:hAnsi="PT Astra Serif" w:cs="PT Astra Serif"/>
          <w:sz w:val="24"/>
          <w:szCs w:val="24"/>
        </w:rPr>
      </w:r>
    </w:p>
    <w:p>
      <w:pPr>
        <w:pStyle w:val="970"/>
        <w:ind w:left="0" w:firstLine="0"/>
        <w:jc w:val="both"/>
        <w:tabs>
          <w:tab w:val="left" w:pos="0" w:leader="none"/>
        </w:tabs>
        <w:rPr>
          <w:rFonts w:ascii="PT Astra Serif" w:hAnsi="PT Astra Serif" w:cs="PT Astra Serif"/>
          <w:sz w:val="24"/>
          <w:szCs w:val="24"/>
        </w:rPr>
      </w:pPr>
      <w:r>
        <w:rPr>
          <w:rFonts w:ascii="PT Astra Serif" w:hAnsi="PT Astra Serif" w:eastAsia="PT Astra Serif" w:cs="PT Astra Serif"/>
          <w:b/>
          <w:bCs/>
          <w:sz w:val="24"/>
          <w:szCs w:val="24"/>
        </w:rPr>
        <w:t xml:space="preserve">11.</w:t>
      </w:r>
      <w:r>
        <w:rPr>
          <w:rFonts w:ascii="PT Astra Serif" w:hAnsi="PT Astra Serif" w:eastAsia="PT Astra Serif" w:cs="PT Astra Serif"/>
          <w:bCs/>
          <w:sz w:val="24"/>
          <w:szCs w:val="24"/>
        </w:rPr>
        <w:t xml:space="preserve"> Осмотр имущества</w:t>
      </w:r>
      <w:r>
        <w:rPr>
          <w:rFonts w:ascii="PT Astra Serif" w:hAnsi="PT Astra Serif" w:eastAsia="PT Astra Serif" w:cs="PT Astra Serif"/>
          <w:b/>
          <w:bCs/>
          <w:sz w:val="24"/>
          <w:szCs w:val="24"/>
        </w:rPr>
        <w:t xml:space="preserve"> </w:t>
      </w:r>
      <w:r>
        <w:rPr>
          <w:rFonts w:ascii="PT Astra Serif" w:hAnsi="PT Astra Serif" w:eastAsia="PT Astra Serif" w:cs="PT Astra Serif"/>
          <w:sz w:val="24"/>
          <w:szCs w:val="24"/>
        </w:rPr>
        <w:t xml:space="preserve">проводится по предварительной записи у Организатора продажи. Заявки на осмотр принимаются с даты начала приема заявок. </w:t>
      </w:r>
      <w:r>
        <w:rPr>
          <w:rFonts w:ascii="PT Astra Serif" w:hAnsi="PT Astra Serif" w:cs="PT Astra Serif"/>
          <w:sz w:val="24"/>
          <w:szCs w:val="24"/>
        </w:rPr>
      </w:r>
      <w:r>
        <w:rPr>
          <w:rFonts w:ascii="PT Astra Serif" w:hAnsi="PT Astra Serif" w:cs="PT Astra Serif"/>
          <w:sz w:val="24"/>
          <w:szCs w:val="24"/>
        </w:rPr>
      </w:r>
    </w:p>
    <w:p>
      <w:pPr>
        <w:jc w:val="both"/>
        <w:rPr>
          <w:rFonts w:ascii="PT Astra Serif" w:hAnsi="PT Astra Serif" w:cs="PT Astra Serif"/>
          <w:sz w:val="24"/>
          <w:szCs w:val="24"/>
        </w:rPr>
      </w:pPr>
      <w:r>
        <w:rPr>
          <w:rFonts w:ascii="PT Astra Serif" w:hAnsi="PT Astra Serif" w:eastAsia="PT Astra Serif" w:cs="PT Astra Serif"/>
          <w:sz w:val="24"/>
          <w:szCs w:val="24"/>
        </w:rPr>
        <w:t xml:space="preserve">Подача заявки на участие в публичном предложении является подтверждением того, что участник ознакомлен с техническим состоянием Имущества и согласен на приобретение Имущества в его фактическом состоянии.</w:t>
      </w:r>
      <w:r>
        <w:rPr>
          <w:rFonts w:ascii="PT Astra Serif" w:hAnsi="PT Astra Serif" w:cs="PT Astra Serif"/>
          <w:sz w:val="24"/>
          <w:szCs w:val="24"/>
        </w:rPr>
      </w:r>
      <w:r>
        <w:rPr>
          <w:rFonts w:ascii="PT Astra Serif" w:hAnsi="PT Astra Serif" w:cs="PT Astra Serif"/>
          <w:sz w:val="24"/>
          <w:szCs w:val="24"/>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12. Время ожидания ценовых предложений: </w:t>
      </w:r>
      <w:r>
        <w:rPr>
          <w:rFonts w:ascii="PT Astra Serif" w:hAnsi="PT Astra Serif" w:eastAsia="PT Astra Serif" w:cs="PT Astra Serif"/>
          <w:bCs/>
          <w:sz w:val="24"/>
          <w:szCs w:val="24"/>
        </w:rPr>
        <w:t xml:space="preserve">длительность первого ценового интервала – 10 (десять) минут; длительность ценового интервала на понижение – 10 (десять) минут; время ожидания ценовых предложений после ставки – 10 (десять) минут.</w:t>
      </w:r>
      <w:r>
        <w:rPr>
          <w:rFonts w:ascii="PT Astra Serif" w:hAnsi="PT Astra Serif" w:cs="PT Astra Serif"/>
          <w:bCs/>
        </w:rPr>
      </w:r>
      <w:r>
        <w:rPr>
          <w:rFonts w:ascii="PT Astra Serif" w:hAnsi="PT Astra Serif" w:cs="PT Astra Serif"/>
          <w:bCs/>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13. Форма заявки: </w:t>
      </w:r>
      <w:r>
        <w:rPr>
          <w:rFonts w:ascii="PT Astra Serif" w:hAnsi="PT Astra Serif" w:eastAsia="PT Astra Serif" w:cs="PT Astra Serif"/>
          <w:bCs/>
          <w:sz w:val="24"/>
          <w:szCs w:val="24"/>
        </w:rPr>
        <w:t xml:space="preserve">в соответствии с документацией процедуры публичного предложения в электронной форме и регламентом ЭТП ГПБ </w:t>
      </w:r>
      <w:r>
        <w:rPr>
          <w:rFonts w:ascii="PT Astra Serif" w:hAnsi="PT Astra Serif" w:eastAsia="PT Astra Serif" w:cs="PT Astra Serif"/>
          <w:bCs/>
          <w:sz w:val="24"/>
          <w:szCs w:val="24"/>
        </w:rPr>
      </w:r>
      <w:hyperlink r:id="rId19" w:tooltip="Click to open https://torgi.etpgpb.ru/" w:history="1">
        <w:r>
          <w:rPr>
            <w:rStyle w:val="942"/>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rPr>
      </w:r>
      <w:r>
        <w:rPr>
          <w:rFonts w:ascii="PT Astra Serif" w:hAnsi="PT Astra Serif" w:cs="PT Astra Serif"/>
          <w:bCs/>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14. Порядок подачи заявок:</w:t>
      </w:r>
      <w:r>
        <w:rPr>
          <w:rFonts w:ascii="PT Astra Serif" w:hAnsi="PT Astra Serif" w:eastAsia="PT Astra Serif" w:cs="PT Astra Serif"/>
          <w:bCs/>
          <w:sz w:val="24"/>
          <w:szCs w:val="24"/>
        </w:rPr>
        <w:t xml:space="preserve"> в соответствии с документацией о публичном предложении в электронной форме и регламентом ЭТП ГПБ </w:t>
      </w:r>
      <w:r>
        <w:rPr>
          <w:rFonts w:ascii="PT Astra Serif" w:hAnsi="PT Astra Serif" w:eastAsia="PT Astra Serif" w:cs="PT Astra Serif"/>
          <w:bCs/>
          <w:sz w:val="24"/>
          <w:szCs w:val="24"/>
        </w:rPr>
      </w:r>
      <w:hyperlink r:id="rId20" w:tooltip="Click to open https://torgi.etpgpb.ru/" w:history="1">
        <w:r>
          <w:rPr>
            <w:rStyle w:val="942"/>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rPr>
      </w:r>
      <w:r>
        <w:rPr>
          <w:rFonts w:ascii="PT Astra Serif" w:hAnsi="PT Astra Serif" w:cs="PT Astra Serif"/>
          <w:bCs/>
        </w:rPr>
      </w:r>
    </w:p>
    <w:p>
      <w:pPr>
        <w:jc w:val="both"/>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jc w:val="center"/>
        <w:tabs>
          <w:tab w:val="left" w:pos="-720" w:leader="none"/>
          <w:tab w:val="left" w:pos="720" w:leader="none"/>
          <w:tab w:val="left" w:pos="900"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t xml:space="preserve">УСЛОВИЯ ПРОВЕДЕНИЯ ПРОДАЖИ ПОСРЕДСТВОМ ПУБЛИЧНОГО ПРЕДЛОЖЕНИЯ</w:t>
      </w:r>
      <w:r>
        <w:rPr>
          <w:rFonts w:ascii="PT Astra Serif" w:hAnsi="PT Astra Serif" w:cs="PT Astra Serif"/>
          <w:b/>
          <w:bCs/>
          <w:color w:val="000000"/>
        </w:rPr>
      </w:r>
      <w:r>
        <w:rPr>
          <w:rFonts w:ascii="PT Astra Serif" w:hAnsi="PT Astra Serif" w:cs="PT Astra Serif"/>
          <w:b/>
          <w:bCs/>
          <w:color w:val="000000"/>
        </w:rPr>
      </w:r>
    </w:p>
    <w:p>
      <w:pPr>
        <w:ind w:firstLine="709"/>
        <w:jc w:val="center"/>
        <w:tabs>
          <w:tab w:val="left" w:pos="-720" w:leader="none"/>
          <w:tab w:val="left" w:pos="720" w:leader="none"/>
          <w:tab w:val="left" w:pos="900"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r>
      <w:r>
        <w:rPr>
          <w:rFonts w:ascii="PT Astra Serif" w:hAnsi="PT Astra Serif" w:cs="PT Astra Serif"/>
          <w:b/>
          <w:bCs/>
          <w:color w:val="000000"/>
        </w:rPr>
      </w:r>
      <w:r>
        <w:rPr>
          <w:rFonts w:ascii="PT Astra Serif" w:hAnsi="PT Astra Serif" w:cs="PT Astra Serif"/>
          <w:b/>
          <w:bCs/>
          <w:color w:val="000000"/>
        </w:rPr>
      </w:r>
    </w:p>
    <w:p>
      <w:pPr>
        <w:contextualSpacing/>
        <w:ind w:left="709"/>
        <w:jc w:val="both"/>
        <w:spacing w:line="24" w:lineRule="atLeast"/>
        <w:tabs>
          <w:tab w:val="left" w:pos="1134" w:leader="none"/>
        </w:tabs>
        <w:rPr>
          <w:rFonts w:ascii="PT Astra Serif" w:hAnsi="PT Astra Serif" w:cs="PT Astra Serif"/>
          <w:b/>
        </w:rPr>
      </w:pPr>
      <w:r>
        <w:rPr>
          <w:rFonts w:ascii="PT Astra Serif" w:hAnsi="PT Astra Serif" w:eastAsia="PT Astra Serif" w:cs="PT Astra Serif"/>
          <w:b/>
          <w:sz w:val="24"/>
          <w:szCs w:val="24"/>
        </w:rPr>
        <w:t xml:space="preserve">Подача заявки на участие в публичном предложении</w:t>
      </w:r>
      <w:r>
        <w:rPr>
          <w:rFonts w:ascii="PT Astra Serif" w:hAnsi="PT Astra Serif" w:cs="PT Astra Serif"/>
          <w:b/>
        </w:rPr>
      </w:r>
      <w:r>
        <w:rPr>
          <w:rFonts w:ascii="PT Astra Serif" w:hAnsi="PT Astra Serif" w:cs="PT Astra Serif"/>
          <w:b/>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ЭТП ГПБ обеспечивает для Участников функционал подачи заявок на участие в публичном предложении.</w:t>
      </w:r>
      <w:r>
        <w:rPr>
          <w:rFonts w:ascii="PT Astra Serif" w:hAnsi="PT Astra Serif" w:cs="PT Astra Serif"/>
        </w:rPr>
      </w:r>
      <w:r>
        <w:rPr>
          <w:rFonts w:ascii="PT Astra Serif" w:hAnsi="PT Astra Serif" w:cs="PT Astra Serif"/>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Формирование и направление заявки на участие в публичном предложении производится Участником в соответствии с Руководством пользователя ЭТП ГПБ, которое размещается в открытой части ЭТП ГПБ.</w:t>
      </w:r>
      <w:r>
        <w:rPr>
          <w:rFonts w:ascii="PT Astra Serif" w:hAnsi="PT Astra Serif" w:cs="PT Astra Serif"/>
        </w:rPr>
      </w:r>
      <w:r>
        <w:rPr>
          <w:rFonts w:ascii="PT Astra Serif" w:hAnsi="PT Astra Serif" w:cs="PT Astra Serif"/>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Срок представления (приема) заявок на участие в публичном предложении определяется Организатором в соответствии с данным извещением и документацией к публичному предложению. </w:t>
      </w:r>
      <w:r>
        <w:rPr>
          <w:rFonts w:ascii="PT Astra Serif" w:hAnsi="PT Astra Serif" w:cs="PT Astra Serif"/>
        </w:rPr>
      </w:r>
      <w:r>
        <w:rPr>
          <w:rFonts w:ascii="PT Astra Serif" w:hAnsi="PT Astra Serif" w:cs="PT Astra Serif"/>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spacing w:val="6"/>
        </w:rPr>
      </w:pPr>
      <w:r>
        <w:rPr>
          <w:rFonts w:ascii="PT Astra Serif" w:hAnsi="PT Astra Serif" w:eastAsia="PT Astra Serif" w:cs="PT Astra Serif"/>
          <w:sz w:val="24"/>
          <w:szCs w:val="24"/>
        </w:rPr>
        <w:t xml:space="preserve">Участник вправе подать заявку на участие в публичном предложении в любой момент, начиная с момента размещения на сайте площадки извещения о проведении публич</w:t>
      </w:r>
      <w:r>
        <w:rPr>
          <w:rFonts w:ascii="PT Astra Serif" w:hAnsi="PT Astra Serif" w:eastAsia="PT Astra Serif" w:cs="PT Astra Serif"/>
          <w:sz w:val="24"/>
          <w:szCs w:val="24"/>
        </w:rPr>
        <w:t xml:space="preserve">ного предложения, и до предусмотренных извещением и документацией о публичном предложении даты и времени окончания срока подачи заявок. Заявки направляются Участником на ЭТП ГПБ в форме электронных документов, подписанных с помощью электронной подписи ЭП.</w:t>
      </w:r>
      <w:r>
        <w:rPr>
          <w:rFonts w:ascii="PT Astra Serif" w:hAnsi="PT Astra Serif" w:cs="PT Astra Serif"/>
          <w:spacing w:val="6"/>
        </w:rPr>
      </w:r>
      <w:r>
        <w:rPr>
          <w:rFonts w:ascii="PT Astra Serif" w:hAnsi="PT Astra Serif" w:cs="PT Astra Serif"/>
          <w:spacing w:val="6"/>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spacing w:val="6"/>
        </w:rPr>
      </w:pPr>
      <w:r>
        <w:rPr>
          <w:rFonts w:ascii="PT Astra Serif" w:hAnsi="PT Astra Serif" w:eastAsia="PT Astra Serif" w:cs="PT Astra Serif"/>
          <w:spacing w:val="6"/>
          <w:sz w:val="24"/>
          <w:szCs w:val="24"/>
        </w:rPr>
        <w:t xml:space="preserve">По факту поступления на ЭТП ГПБ заявки на участие в процедуре, ЭТП ГПБ осуществляет блокировку денежных средств на Лицевом счете Участника в размере суммы обеспечения заявки на участие в публичном предложении.</w:t>
      </w:r>
      <w:r>
        <w:rPr>
          <w:rFonts w:ascii="PT Astra Serif" w:hAnsi="PT Astra Serif" w:cs="PT Astra Serif"/>
          <w:spacing w:val="6"/>
        </w:rPr>
      </w:r>
      <w:r>
        <w:rPr>
          <w:rFonts w:ascii="PT Astra Serif" w:hAnsi="PT Astra Serif" w:cs="PT Astra Serif"/>
          <w:spacing w:val="6"/>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Участник публичного предложения вправе отозвать заявку на участие в публичном предложении не позднее окончания срока подачи заявок в соответствии с Руководством пользователя ЭТП ГПБ, которое размещается в открытой части ЭТП ГПБ. </w:t>
      </w:r>
      <w:r>
        <w:rPr>
          <w:rFonts w:ascii="PT Astra Serif" w:hAnsi="PT Astra Serif" w:cs="PT Astra Serif"/>
        </w:rPr>
      </w:r>
      <w:r>
        <w:rPr>
          <w:rFonts w:ascii="PT Astra Serif" w:hAnsi="PT Astra Serif" w:cs="PT Astra Serif"/>
        </w:rPr>
      </w:r>
    </w:p>
    <w:p>
      <w:pPr>
        <w:numPr>
          <w:ilvl w:val="1"/>
          <w:numId w:val="49"/>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Подача заявителем заявки на участие в п</w:t>
      </w:r>
      <w:r>
        <w:rPr>
          <w:rFonts w:ascii="PT Astra Serif" w:hAnsi="PT Astra Serif" w:eastAsia="PT Astra Serif" w:cs="PT Astra Serif"/>
          <w:sz w:val="24"/>
          <w:szCs w:val="24"/>
        </w:rPr>
        <w:t xml:space="preserve">убличном предложении является согласием заявителя на списание денежных средств, находящихся на его Лицевом счете в качестве платы за участие в публичном предложении в случае признания такого заявителя победителем, в размере, указанном в Регламенте ЭТП ГПБ.</w:t>
      </w:r>
      <w:r>
        <w:rPr>
          <w:rFonts w:ascii="PT Astra Serif" w:hAnsi="PT Astra Serif" w:cs="PT Astra Serif"/>
        </w:rPr>
      </w:r>
      <w:r>
        <w:rPr>
          <w:rFonts w:ascii="PT Astra Serif" w:hAnsi="PT Astra Serif" w:cs="PT Astra Serif"/>
        </w:rPr>
      </w:r>
    </w:p>
    <w:p>
      <w:pPr>
        <w:contextualSpacing/>
        <w:ind w:left="709"/>
        <w:jc w:val="both"/>
        <w:spacing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r>
      <w:r>
        <w:rPr>
          <w:rFonts w:ascii="PT Astra Serif" w:hAnsi="PT Astra Serif" w:cs="PT Astra Serif"/>
        </w:rPr>
      </w:r>
      <w:r>
        <w:rPr>
          <w:rFonts w:ascii="PT Astra Serif" w:hAnsi="PT Astra Serif" w:cs="PT Astra Serif"/>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Требования к Участникам</w:t>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1. Для участия в публичном предложении необходимо зарегистрироваться на ЭТП ГПБ и внести обеспечение заявки (задаток), в соответствии с регламентом ЭТП </w:t>
      </w:r>
      <w:r>
        <w:rPr>
          <w:rFonts w:ascii="PT Astra Serif" w:hAnsi="PT Astra Serif" w:eastAsia="PT Astra Serif" w:cs="PT Astra Serif"/>
          <w:color w:val="000000"/>
          <w:sz w:val="24"/>
          <w:szCs w:val="24"/>
        </w:rPr>
        <w:t xml:space="preserve">ГПБ  </w:t>
      </w:r>
      <w:r>
        <w:rPr>
          <w:rFonts w:ascii="PT Astra Serif" w:hAnsi="PT Astra Serif" w:eastAsia="PT Astra Serif" w:cs="PT Astra Serif"/>
          <w:bCs/>
          <w:sz w:val="24"/>
          <w:szCs w:val="24"/>
        </w:rPr>
        <w:t xml:space="preserve"> </w:t>
      </w:r>
      <w:r>
        <w:rPr>
          <w:rFonts w:ascii="PT Astra Serif" w:hAnsi="PT Astra Serif" w:eastAsia="PT Astra Serif" w:cs="PT Astra Serif"/>
          <w:bCs/>
          <w:sz w:val="24"/>
          <w:szCs w:val="24"/>
        </w:rPr>
      </w:r>
      <w:hyperlink r:id="rId21" w:tooltip="Click to open https://torgi.etpgpb.ru/" w:history="1">
        <w:r>
          <w:rPr>
            <w:rStyle w:val="942"/>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eastAsia="PT Astra Serif" w:cs="PT Astra Serif"/>
          <w:color w:val="000000"/>
          <w:sz w:val="24"/>
          <w:szCs w:val="24"/>
        </w:rPr>
        <w:t xml:space="preserve">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2. В установленный в извещении и документации срок предоставить: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а) заявку на участие в публичном предложении, которая должна содержать следующие сведения: наименование, организационно-правовая форма, место нахождения, почтовый адрес заявителя, банковск</w:t>
      </w:r>
      <w:r>
        <w:rPr>
          <w:rFonts w:ascii="PT Astra Serif" w:hAnsi="PT Astra Serif" w:eastAsia="PT Astra Serif" w:cs="PT Astra Serif"/>
          <w:color w:val="000000"/>
          <w:sz w:val="24"/>
          <w:szCs w:val="24"/>
        </w:rPr>
        <w:t xml:space="preserve">ие реквизиты, номер ОГРН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ИНН и приложить следующие документы: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б) сканированну</w:t>
      </w:r>
      <w:r>
        <w:rPr>
          <w:rFonts w:ascii="PT Astra Serif" w:hAnsi="PT Astra Serif" w:eastAsia="PT Astra Serif" w:cs="PT Astra Serif"/>
          <w:color w:val="000000"/>
          <w:sz w:val="24"/>
          <w:szCs w:val="24"/>
        </w:rPr>
        <w:t xml:space="preserve">ю копию выписки из ЕГРЮЛ (для юридического лица), выписку из ЕГРИП (для ИП) полученные не позднее, чем за 1 месяц до подачи заявки, сканированные копии документов, удостоверяющих личность (для физического лица и ИП), надлежащим образом заверенного перевода</w:t>
      </w:r>
      <w:r>
        <w:rPr>
          <w:rFonts w:ascii="PT Astra Serif" w:hAnsi="PT Astra Serif" w:eastAsia="PT Astra Serif" w:cs="PT Astra Serif"/>
          <w:color w:val="000000"/>
          <w:sz w:val="24"/>
          <w:szCs w:val="24"/>
        </w:rPr>
        <w:t xml:space="preserve">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Юридические лица дополнительно представляют:</w:t>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в) нотариально удостоверенные копии учредительных документов. Иностранные юридические лица представляют выписку из торгового реестра страны происхождения или иное эквивалентное доказательство юридического статуса.</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г) нотариально удостоверенную копию свидетельства о внесении записи в Единый государственный реестр юридических лиц.</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д) нотариально удостоверенную копию свидетельства о постановке на учет в налоговом органе.</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е) сканированную копию согласия на совершение крупной сделки, сделки с заинтересованностью, если требование о необходимости наличия такого согласия на совершение крупной сделки или сделки с заинтерес</w:t>
      </w:r>
      <w:r>
        <w:rPr>
          <w:rFonts w:ascii="PT Astra Serif" w:hAnsi="PT Astra Serif" w:eastAsia="PT Astra Serif" w:cs="PT Astra Serif"/>
          <w:color w:val="000000"/>
          <w:sz w:val="24"/>
          <w:szCs w:val="24"/>
        </w:rPr>
        <w:t xml:space="preserve">ованностью установлено законодательством РФ и (или) учредительными документами юридического лица и если для участника публичного предложения приобретение имущества или внесение задатка является крупной сделкой или сделкой с заинтересованностью; согласие со</w:t>
      </w:r>
      <w:r>
        <w:rPr>
          <w:rFonts w:ascii="PT Astra Serif" w:hAnsi="PT Astra Serif" w:eastAsia="PT Astra Serif" w:cs="PT Astra Serif"/>
          <w:color w:val="000000"/>
          <w:sz w:val="24"/>
          <w:szCs w:val="24"/>
        </w:rPr>
        <w:t xml:space="preserve">бственника государственного или муниципального предприятия, в случае если это необходимо в соответствии с уставом предприятия (для юридического лица); нотариально удостоверенное согласие супруга на приобретение указанного имущества (для физического лица);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ж) сканированную копию документа, подтверждающего полномочия руководителя;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з) доверенность или иной документ, подтверждающий полномочия лица, действовать от имени заявителя (в случае подачи заявки уполномоченным лицом);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и) информацию о цепочке собственников, включая бенефициаров (в том числе конечных), с подтверждением соответствующими документами.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lang w:eastAsia="en-US"/>
        </w:rPr>
        <w:t xml:space="preserve">3. Непредставление вышеперечисленных документов или представление документов, не отвечающих требованиям законодательства Российской Федерации и условиям настоящего публичного предложения, служит основанием для не допуска к участию в публичном предложении.</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Рассмотрение заявок и допуск к участию в публичном предложении</w:t>
      </w:r>
      <w:r>
        <w:rPr>
          <w:rFonts w:ascii="PT Astra Serif" w:hAnsi="PT Astra Serif" w:cs="PT Astra Serif"/>
          <w:b/>
          <w:color w:val="000000"/>
        </w:rPr>
      </w:r>
      <w:r>
        <w:rPr>
          <w:rFonts w:ascii="PT Astra Serif" w:hAnsi="PT Astra Serif" w:cs="PT Astra Serif"/>
          <w:b/>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для пользователей участников функционал по рассмотрению заявок на участие в публичном предложении в соответствии с Руководством оператора ЭТП ГПБ, которое размещается в открытой части ЭТП ГПБ.</w:t>
      </w:r>
      <w:r>
        <w:rPr>
          <w:rFonts w:ascii="PT Astra Serif" w:hAnsi="PT Astra Serif" w:cs="PT Astra Serif"/>
          <w:color w:val="000000"/>
        </w:rPr>
      </w:r>
      <w:r>
        <w:rPr>
          <w:rFonts w:ascii="PT Astra Serif" w:hAnsi="PT Astra Serif" w:cs="PT Astra Serif"/>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Сроки рассмотрения заявок устанавливаются Организатором в извещении о проведении публичного предложения и определяется собственными потребностями или внутренними регламентами (при их наличии) Организатора.</w:t>
      </w:r>
      <w:r>
        <w:rPr>
          <w:rFonts w:ascii="PT Astra Serif" w:hAnsi="PT Astra Serif" w:cs="PT Astra Serif"/>
          <w:color w:val="000000"/>
        </w:rPr>
      </w:r>
      <w:r>
        <w:rPr>
          <w:rFonts w:ascii="PT Astra Serif" w:hAnsi="PT Astra Serif" w:cs="PT Astra Serif"/>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На ЭТП ГПБ ведется учет принятых, возвращенных и отозванных заявок на участие в публичном предложении. В течение одного дня после окончания срока подачи заявок, установленного Организатором, заявки становятся доступны для рассмотрения. </w:t>
      </w:r>
      <w:r>
        <w:rPr>
          <w:rFonts w:ascii="PT Astra Serif" w:hAnsi="PT Astra Serif" w:cs="PT Astra Serif"/>
          <w:color w:val="000000"/>
        </w:rPr>
      </w:r>
      <w:r>
        <w:rPr>
          <w:rFonts w:ascii="PT Astra Serif" w:hAnsi="PT Astra Serif" w:cs="PT Astra Serif"/>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bCs/>
          <w:color w:val="000000"/>
          <w:sz w:val="24"/>
          <w:szCs w:val="24"/>
        </w:rPr>
        <w:t xml:space="preserve">Организатор производит рассмотрение заявок в срок рассмотрения, указанный им в извещении о проведении публичного предложения.</w:t>
      </w:r>
      <w:r>
        <w:rPr>
          <w:rFonts w:ascii="PT Astra Serif" w:hAnsi="PT Astra Serif" w:cs="PT Astra Serif"/>
          <w:color w:val="000000"/>
        </w:rPr>
      </w:r>
      <w:r>
        <w:rPr>
          <w:rFonts w:ascii="PT Astra Serif" w:hAnsi="PT Astra Serif" w:cs="PT Astra Serif"/>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bCs/>
          <w:color w:val="000000"/>
          <w:sz w:val="24"/>
          <w:szCs w:val="24"/>
        </w:rPr>
        <w:t xml:space="preserve">По итогам рассмотрения заявок Организатор</w:t>
      </w:r>
      <w:r>
        <w:rPr>
          <w:rFonts w:ascii="PT Astra Serif" w:hAnsi="PT Astra Serif" w:eastAsia="PT Astra Serif" w:cs="PT Astra Serif"/>
          <w:color w:val="000000"/>
          <w:sz w:val="24"/>
          <w:szCs w:val="24"/>
        </w:rPr>
        <w:t xml:space="preserve"> принимает решение о допуске (об отказе в допуске) Пользователей к участию в публичном </w:t>
      </w:r>
      <w:r>
        <w:rPr>
          <w:rFonts w:ascii="PT Astra Serif" w:hAnsi="PT Astra Serif" w:eastAsia="PT Astra Serif" w:cs="PT Astra Serif"/>
          <w:color w:val="000000"/>
          <w:sz w:val="24"/>
          <w:szCs w:val="24"/>
        </w:rPr>
        <w:t xml:space="preserve">предолжении</w:t>
      </w:r>
      <w:r>
        <w:rPr>
          <w:rFonts w:ascii="PT Astra Serif" w:hAnsi="PT Astra Serif" w:eastAsia="PT Astra Serif" w:cs="PT Astra Serif"/>
          <w:color w:val="000000"/>
          <w:sz w:val="24"/>
          <w:szCs w:val="24"/>
        </w:rPr>
        <w:t xml:space="preserve"> и формирует протокол рассмотрения заявок. </w:t>
      </w:r>
      <w:r>
        <w:rPr>
          <w:rFonts w:ascii="PT Astra Serif" w:hAnsi="PT Astra Serif" w:cs="PT Astra Serif"/>
          <w:color w:val="000000"/>
        </w:rPr>
      </w:r>
      <w:r>
        <w:rPr>
          <w:rFonts w:ascii="PT Astra Serif" w:hAnsi="PT Astra Serif" w:cs="PT Astra Serif"/>
          <w:color w:val="000000"/>
        </w:rPr>
      </w:r>
    </w:p>
    <w:p>
      <w:pPr>
        <w:numPr>
          <w:ilvl w:val="1"/>
          <w:numId w:val="50"/>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 не допускается к участию в публичном предложении в следующих случаях: </w:t>
      </w:r>
      <w:r>
        <w:rPr>
          <w:rFonts w:ascii="PT Astra Serif" w:hAnsi="PT Astra Serif" w:cs="PT Astra Serif"/>
          <w:color w:val="000000"/>
        </w:rPr>
      </w:r>
      <w:r>
        <w:rPr>
          <w:rFonts w:ascii="PT Astra Serif" w:hAnsi="PT Astra Serif" w:cs="PT Astra Serif"/>
          <w:color w:val="000000"/>
        </w:rPr>
      </w:r>
    </w:p>
    <w:p>
      <w:pPr>
        <w:numPr>
          <w:ilvl w:val="0"/>
          <w:numId w:val="48"/>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заявка подана лицом, не уполномоченным Участником на осуществление таких действий; </w:t>
      </w:r>
      <w:r>
        <w:rPr>
          <w:rFonts w:ascii="PT Astra Serif" w:hAnsi="PT Astra Serif" w:cs="PT Astra Serif"/>
          <w:color w:val="000000"/>
        </w:rPr>
      </w:r>
      <w:r>
        <w:rPr>
          <w:rFonts w:ascii="PT Astra Serif" w:hAnsi="PT Astra Serif" w:cs="PT Astra Serif"/>
          <w:color w:val="000000"/>
        </w:rPr>
      </w:r>
    </w:p>
    <w:p>
      <w:pPr>
        <w:numPr>
          <w:ilvl w:val="0"/>
          <w:numId w:val="48"/>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предоставлены не все документы по перечню, опубликованному в Информационном сообщении о проведении публичного предложения; </w:t>
      </w:r>
      <w:r>
        <w:rPr>
          <w:rFonts w:ascii="PT Astra Serif" w:hAnsi="PT Astra Serif" w:cs="PT Astra Serif"/>
          <w:color w:val="000000"/>
        </w:rPr>
      </w:r>
      <w:r>
        <w:rPr>
          <w:rFonts w:ascii="PT Astra Serif" w:hAnsi="PT Astra Serif" w:cs="PT Astra Serif"/>
          <w:color w:val="000000"/>
        </w:rPr>
      </w:r>
    </w:p>
    <w:p>
      <w:pPr>
        <w:numPr>
          <w:ilvl w:val="0"/>
          <w:numId w:val="48"/>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участником предоставлены недостоверные сведения;</w:t>
      </w:r>
      <w:r>
        <w:rPr>
          <w:rFonts w:ascii="PT Astra Serif" w:hAnsi="PT Astra Serif" w:cs="PT Astra Serif"/>
          <w:color w:val="000000"/>
        </w:rPr>
      </w:r>
      <w:r>
        <w:rPr>
          <w:rFonts w:ascii="PT Astra Serif" w:hAnsi="PT Astra Serif" w:cs="PT Astra Serif"/>
          <w:color w:val="000000"/>
        </w:rPr>
      </w:r>
    </w:p>
    <w:p>
      <w:pPr>
        <w:numPr>
          <w:ilvl w:val="0"/>
          <w:numId w:val="48"/>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сумма задатка поступила на счет Организатора не в полном объеме (в </w:t>
      </w:r>
      <w:r>
        <w:rPr>
          <w:rFonts w:ascii="PT Astra Serif" w:hAnsi="PT Astra Serif" w:eastAsia="PT Astra Serif" w:cs="PT Astra Serif"/>
          <w:color w:val="000000"/>
          <w:sz w:val="24"/>
          <w:szCs w:val="24"/>
        </w:rPr>
        <w:t xml:space="preserve">т.ч</w:t>
      </w:r>
      <w:r>
        <w:rPr>
          <w:rFonts w:ascii="PT Astra Serif" w:hAnsi="PT Astra Serif" w:eastAsia="PT Astra Serif" w:cs="PT Astra Serif"/>
          <w:color w:val="000000"/>
          <w:sz w:val="24"/>
          <w:szCs w:val="24"/>
        </w:rPr>
        <w:t xml:space="preserve">. не поступила на счет Организатора) </w:t>
      </w:r>
      <w:r>
        <w:rPr>
          <w:rFonts w:ascii="PT Astra Serif" w:hAnsi="PT Astra Serif" w:eastAsia="PT Astra Serif" w:cs="PT Astra Serif"/>
          <w:color w:val="000000"/>
          <w:sz w:val="24"/>
          <w:szCs w:val="24"/>
        </w:rPr>
        <w:t xml:space="preserve">или  поступила</w:t>
      </w:r>
      <w:r>
        <w:rPr>
          <w:rFonts w:ascii="PT Astra Serif" w:hAnsi="PT Astra Serif" w:eastAsia="PT Astra Serif" w:cs="PT Astra Serif"/>
          <w:color w:val="000000"/>
          <w:sz w:val="24"/>
          <w:szCs w:val="24"/>
        </w:rPr>
        <w:t xml:space="preserve"> позднее установленного срока.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Порядок проведения публичного предложения:</w:t>
      </w:r>
      <w:r>
        <w:rPr>
          <w:rFonts w:ascii="PT Astra Serif" w:hAnsi="PT Astra Serif" w:cs="PT Astra Serif"/>
          <w:b/>
          <w:color w:val="000000"/>
        </w:rPr>
      </w:r>
      <w:r>
        <w:rPr>
          <w:rFonts w:ascii="PT Astra Serif" w:hAnsi="PT Astra Serif" w:cs="PT Astra Serif"/>
          <w:b/>
          <w:color w:val="000000"/>
        </w:rPr>
      </w:r>
    </w:p>
    <w:p>
      <w:pPr>
        <w:numPr>
          <w:ilvl w:val="0"/>
          <w:numId w:val="51"/>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Пользователь, допущенный к участию в публичном предложении, приобретает статус Участника с момента оформления протокола рассмотрения заявок. </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функционал проведения публичного предложения. Инструкция по участию в публичном предложении доступна в Руководстве пользователя ЭТП ГПБ, которое размещается в открытой части ЭТП ГПБ. </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проведение публичного предложения в назначенные дату и время проведения, указанную в извещении при условии, что по итогам рассмотрения заявок к уч</w:t>
      </w:r>
      <w:r>
        <w:rPr>
          <w:rFonts w:ascii="PT Astra Serif" w:hAnsi="PT Astra Serif" w:eastAsia="PT Astra Serif" w:cs="PT Astra Serif"/>
          <w:color w:val="000000"/>
          <w:sz w:val="24"/>
          <w:szCs w:val="24"/>
        </w:rPr>
        <w:t xml:space="preserve">астию в публичном предложении были допущены не менее двух Участников публичного предложения. Начало и окончание проведения публичного предложения, а также время поступления ценовых предложений определяется по времени сервера, на котором размещена ЭТП ГПБ. </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Сроки и шаг подачи ценовых предложений в ходе публичного предложения указывается Организатором в извещении о проведении публичного предложения.</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 момента начала проведения публичного предложения Участники вправе подать свои предложения о цене договора. </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56" w:lineRule="auto"/>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Время, оставшееся до истечения срока подачи ценовых предложений, продлевается автоматически после поступления очередного предложения о цене договора. </w:t>
      </w:r>
      <w:r>
        <w:rPr>
          <w:rFonts w:ascii="PT Astra Serif" w:hAnsi="PT Astra Serif" w:cs="PT Astra Serif"/>
          <w:color w:val="000000"/>
        </w:rPr>
      </w:r>
      <w:r>
        <w:rPr>
          <w:rFonts w:ascii="PT Astra Serif" w:hAnsi="PT Astra Serif" w:cs="PT Astra Serif"/>
          <w:color w:val="000000"/>
        </w:rPr>
      </w:r>
    </w:p>
    <w:p>
      <w:pPr>
        <w:numPr>
          <w:ilvl w:val="0"/>
          <w:numId w:val="51"/>
        </w:numPr>
        <w:contextualSpacing/>
        <w:ind w:left="0" w:firstLine="709"/>
        <w:jc w:val="both"/>
        <w:spacing w:after="3" w:line="256" w:lineRule="auto"/>
        <w:tabs>
          <w:tab w:val="left" w:pos="993" w:leader="none"/>
          <w:tab w:val="left" w:pos="1276"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 публичного предложения не вправе подавать предложение о цене договора, равное предложению или меньшее, чем предложение о цене договора, которое было подано им ранее.</w:t>
      </w:r>
      <w:r>
        <w:rPr>
          <w:rFonts w:ascii="PT Astra Serif" w:hAnsi="PT Astra Serif" w:cs="PT Astra Serif"/>
          <w:color w:val="000000"/>
        </w:rPr>
      </w:r>
      <w:r>
        <w:rPr>
          <w:rFonts w:ascii="PT Astra Serif" w:hAnsi="PT Astra Serif" w:cs="PT Astra Serif"/>
          <w:color w:val="000000"/>
        </w:rPr>
      </w:r>
    </w:p>
    <w:p>
      <w:pPr>
        <w:ind w:firstLine="709"/>
        <w:jc w:val="both"/>
        <w:tabs>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8. 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r>
        <w:rPr>
          <w:rFonts w:ascii="PT Astra Serif" w:hAnsi="PT Astra Serif" w:cs="PT Astra Serif"/>
          <w:sz w:val="24"/>
          <w:szCs w:val="24"/>
        </w:rPr>
      </w:r>
      <w:r>
        <w:rPr>
          <w:rFonts w:ascii="PT Astra Serif" w:hAnsi="PT Astra Serif" w:cs="PT Astra Serif"/>
          <w:sz w:val="24"/>
          <w:szCs w:val="24"/>
        </w:rPr>
      </w:r>
    </w:p>
    <w:p>
      <w:pPr>
        <w:contextualSpacing/>
        <w:ind w:left="709"/>
        <w:jc w:val="both"/>
        <w:tabs>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9. Каждое ценовое предложение, подаваемое в ходе публичного предложения, подписывается ЭП. </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10. При подаче ценового предложения </w:t>
      </w:r>
      <w:r>
        <w:rPr>
          <w:rFonts w:ascii="PT Astra Serif" w:hAnsi="PT Astra Serif" w:eastAsia="PT Astra Serif" w:cs="PT Astra Serif"/>
          <w:sz w:val="24"/>
          <w:szCs w:val="24"/>
        </w:rPr>
        <w:t xml:space="preserve">Участником публичного предложения равного начальной цене, начинается запрос предложения на повышение начальной цены. Повышение начальной цены производится на «Шаг повышения цены». Победителем становится Участник, предложивший наивысшее ценовое предложение.</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 В сл</w:t>
      </w:r>
      <w:r>
        <w:rPr>
          <w:rFonts w:ascii="PT Astra Serif" w:hAnsi="PT Astra Serif" w:eastAsia="PT Astra Serif" w:cs="PT Astra Serif"/>
          <w:sz w:val="24"/>
          <w:szCs w:val="24"/>
        </w:rPr>
        <w:t xml:space="preserve">учае если не было подано ни одного ценового предложения, равного начальной цене, то начальная цена понижается на «Шаг понижения цены». По окончании Времени ожидания ценовых предложений, цена снижается до Минимальной цены продажи имущества (цены отсечения).</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11.1. Если было подано ценовое предложение на этапе снижения цены продажи имущества, то начинается запрос предложения на повышение цены. Победителем становится Участник, предложивший наивысшее ценовое предложение.</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11.2. Если не было подано ни одного ценового предложения, то по истечении «Времени ожидания ценовых предложений» после достижения «Минимальной цены продажи имущества» процедура автоматически завершается.</w:t>
      </w:r>
      <w:r>
        <w:rPr>
          <w:rFonts w:ascii="PT Astra Serif" w:hAnsi="PT Astra Serif" w:cs="PT Astra Serif"/>
          <w:sz w:val="24"/>
          <w:szCs w:val="24"/>
        </w:rPr>
      </w:r>
      <w:r>
        <w:rPr>
          <w:rFonts w:ascii="PT Astra Serif" w:hAnsi="PT Astra Serif" w:cs="PT Astra Serif"/>
          <w:sz w:val="24"/>
          <w:szCs w:val="24"/>
        </w:rPr>
      </w:r>
    </w:p>
    <w:p>
      <w:pPr>
        <w:ind w:firstLine="709"/>
        <w:jc w:val="both"/>
        <w:spacing w:line="288" w:lineRule="auto"/>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ind w:firstLine="709"/>
        <w:jc w:val="both"/>
        <w:spacing w:line="24" w:lineRule="atLeast"/>
        <w:tabs>
          <w:tab w:val="left" w:pos="993"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Порядок подведения итогов:</w:t>
      </w:r>
      <w:r>
        <w:rPr>
          <w:rFonts w:ascii="PT Astra Serif" w:hAnsi="PT Astra Serif" w:cs="PT Astra Serif"/>
          <w:b/>
          <w:color w:val="000000"/>
        </w:rPr>
      </w:r>
      <w:r>
        <w:rPr>
          <w:rFonts w:ascii="PT Astra Serif" w:hAnsi="PT Astra Serif" w:cs="PT Astra Serif"/>
          <w:b/>
          <w:color w:val="000000"/>
        </w:rPr>
      </w:r>
    </w:p>
    <w:p>
      <w:pPr>
        <w:numPr>
          <w:ilvl w:val="0"/>
          <w:numId w:val="52"/>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По факту завершения публичного предложения на ЭТП ГПБ Организатору доступен функционал рассмотрения заявок Участников и принятия решения о выборе победителя. </w:t>
      </w:r>
      <w:r>
        <w:rPr>
          <w:rFonts w:ascii="PT Astra Serif" w:hAnsi="PT Astra Serif" w:cs="PT Astra Serif"/>
        </w:rPr>
      </w:r>
      <w:r>
        <w:rPr>
          <w:rFonts w:ascii="PT Astra Serif" w:hAnsi="PT Astra Serif" w:cs="PT Astra Serif"/>
        </w:rPr>
      </w:r>
    </w:p>
    <w:p>
      <w:pPr>
        <w:numPr>
          <w:ilvl w:val="0"/>
          <w:numId w:val="52"/>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Участник, который предложил наиболее высокую цену договора, и заявка которого соответствует требованиям извещения и документации о публичном предложении, признается победителем. </w:t>
      </w:r>
      <w:r>
        <w:rPr>
          <w:rFonts w:ascii="PT Astra Serif" w:hAnsi="PT Astra Serif" w:cs="PT Astra Serif"/>
        </w:rPr>
      </w:r>
      <w:r>
        <w:rPr>
          <w:rFonts w:ascii="PT Astra Serif" w:hAnsi="PT Astra Serif" w:cs="PT Astra Serif"/>
        </w:rPr>
      </w:r>
    </w:p>
    <w:p>
      <w:pPr>
        <w:numPr>
          <w:ilvl w:val="0"/>
          <w:numId w:val="52"/>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По факту окончания публичного предложения Организатор публикует протокол подведения итогов.</w:t>
      </w:r>
      <w:r>
        <w:rPr>
          <w:rFonts w:ascii="PT Astra Serif" w:hAnsi="PT Astra Serif" w:cs="PT Astra Serif"/>
        </w:rPr>
      </w:r>
      <w:r>
        <w:rPr>
          <w:rFonts w:ascii="PT Astra Serif" w:hAnsi="PT Astra Serif" w:cs="PT Astra Serif"/>
        </w:rPr>
      </w:r>
    </w:p>
    <w:p>
      <w:pPr>
        <w:numPr>
          <w:ilvl w:val="0"/>
          <w:numId w:val="52"/>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Торги признаются несостоявшимися в следующих случаях:</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при отсутствии заявок на участие в конкурентной процедуре, либо ни один из заявителей на участие не признан участником торгов;</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к участию в торгах допущен только один участник;</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ни один из участников не сделал ценовое предложение в ходе проведения конкурентной процедуры.</w:t>
      </w:r>
      <w:r>
        <w:rPr>
          <w:rFonts w:ascii="PT Astra Serif" w:hAnsi="PT Astra Serif" w:cs="PT Astra Serif"/>
        </w:rPr>
      </w:r>
      <w:r>
        <w:rPr>
          <w:rFonts w:ascii="PT Astra Serif" w:hAnsi="PT Astra Serif" w:cs="PT Astra Serif"/>
        </w:rPr>
      </w:r>
    </w:p>
    <w:p>
      <w:pPr>
        <w:contextualSpacing/>
        <w:ind w:firstLine="709"/>
        <w:jc w:val="both"/>
        <w:spacing w:after="3" w:line="24" w:lineRule="atLeast"/>
        <w:tabs>
          <w:tab w:val="left" w:pos="0" w:leader="none"/>
        </w:tabs>
        <w:rPr>
          <w:rFonts w:ascii="PT Astra Serif" w:hAnsi="PT Astra Serif" w:cs="PT Astra Serif"/>
        </w:rPr>
      </w:pPr>
      <w:r>
        <w:rPr>
          <w:rFonts w:ascii="PT Astra Serif" w:hAnsi="PT Astra Serif" w:eastAsia="PT Astra Serif" w:cs="PT Astra Serif"/>
          <w:sz w:val="24"/>
          <w:szCs w:val="24"/>
          <w:lang w:eastAsia="en-US"/>
        </w:rPr>
        <w:t xml:space="preserve">В случае признания торгов несостоявшимися Организатором торгов формируется протокол о признании процедуры несостоявшейся</w:t>
      </w:r>
      <w:r>
        <w:rPr>
          <w:rFonts w:ascii="PT Astra Serif" w:hAnsi="PT Astra Serif" w:cs="PT Astra Serif"/>
        </w:rPr>
      </w:r>
      <w:r>
        <w:rPr>
          <w:rFonts w:ascii="PT Astra Serif" w:hAnsi="PT Astra Serif" w:cs="PT Astra Serif"/>
        </w:rPr>
      </w:r>
    </w:p>
    <w:p>
      <w:pPr>
        <w:ind w:firstLine="709"/>
        <w:jc w:val="both"/>
        <w:spacing w:line="24" w:lineRule="atLeast"/>
        <w:tabs>
          <w:tab w:val="left" w:pos="993"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r>
      <w:r>
        <w:rPr>
          <w:rFonts w:ascii="PT Astra Serif" w:hAnsi="PT Astra Serif" w:cs="PT Astra Serif"/>
          <w:b/>
          <w:bCs/>
          <w:color w:val="000000"/>
        </w:rPr>
      </w:r>
      <w:r>
        <w:rPr>
          <w:rFonts w:ascii="PT Astra Serif" w:hAnsi="PT Astra Serif" w:cs="PT Astra Serif"/>
          <w:b/>
          <w:bCs/>
          <w:color w:val="000000"/>
        </w:rPr>
      </w:r>
    </w:p>
    <w:p>
      <w:pPr>
        <w:ind w:firstLine="709"/>
        <w:jc w:val="both"/>
        <w:spacing w:line="24" w:lineRule="atLeast"/>
        <w:tabs>
          <w:tab w:val="left" w:pos="993" w:leader="none"/>
        </w:tabs>
        <w:rPr>
          <w:rFonts w:ascii="PT Astra Serif" w:hAnsi="PT Astra Serif" w:cs="PT Astra Serif"/>
          <w:color w:val="000000"/>
          <w:highlight w:val="none"/>
        </w:rPr>
      </w:pPr>
      <w:r>
        <w:rPr>
          <w:rFonts w:ascii="PT Astra Serif" w:hAnsi="PT Astra Serif" w:eastAsia="PT Astra Serif" w:cs="PT Astra Serif"/>
          <w:b/>
          <w:bCs/>
          <w:color w:val="000000"/>
          <w:sz w:val="24"/>
          <w:szCs w:val="24"/>
        </w:rPr>
        <w:t xml:space="preserve">Порядок заключения договора купли-продажи, порядок расчетов: </w:t>
      </w:r>
      <w:r>
        <w:rPr>
          <w:rFonts w:ascii="PT Astra Serif" w:hAnsi="PT Astra Serif" w:cs="PT Astra Serif"/>
          <w:color w:val="000000"/>
          <w:highlight w:val="none"/>
        </w:rPr>
      </w:r>
      <w:r>
        <w:rPr>
          <w:rFonts w:ascii="PT Astra Serif" w:hAnsi="PT Astra Serif" w:cs="PT Astra Serif"/>
          <w:color w:val="000000"/>
          <w:highlight w:val="none"/>
        </w:rPr>
      </w:r>
    </w:p>
    <w:p>
      <w:pPr>
        <w:ind w:firstLine="709"/>
        <w:jc w:val="both"/>
        <w:spacing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highlight w:val="none"/>
        </w:rPr>
      </w:r>
      <w:r>
        <w:rPr>
          <w:rFonts w:ascii="PT Astra Serif" w:hAnsi="PT Astra Serif" w:cs="PT Astra Serif"/>
          <w:color w:val="000000"/>
        </w:rPr>
      </w:r>
      <w:r>
        <w:rPr>
          <w:rFonts w:ascii="PT Astra Serif" w:hAnsi="PT Astra Serif" w:cs="PT Astra Serif"/>
          <w:color w:val="000000"/>
        </w:rPr>
      </w:r>
    </w:p>
    <w:p>
      <w:pPr>
        <w:ind w:firstLine="709"/>
        <w:jc w:val="both"/>
        <w:shd w:val="clear" w:color="auto" w:fill="ffffff"/>
        <w:rPr>
          <w:rFonts w:ascii="PT Astra Serif" w:hAnsi="PT Astra Serif" w:cs="PT Astra Serif"/>
          <w:sz w:val="24"/>
          <w:szCs w:val="24"/>
        </w:rPr>
      </w:pPr>
      <w:r>
        <w:rPr>
          <w:rFonts w:ascii="PT Astra Serif" w:hAnsi="PT Astra Serif" w:eastAsia="PT Astra Serif" w:cs="PT Astra Serif"/>
          <w:sz w:val="24"/>
          <w:szCs w:val="24"/>
        </w:rPr>
        <w:t xml:space="preserve">1. Договор купли-продажи Имущества заключается Продавцом с Победителем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sz w:val="24"/>
          <w:szCs w:val="24"/>
        </w:rPr>
        <w:t xml:space="preserve"> в установленном законодательством порядке, в течение 15 (пятнадцати) дней с даты оформления протокола подведения итогов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sz w:val="24"/>
          <w:szCs w:val="24"/>
        </w:rPr>
        <w:t xml:space="preserve">.</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2. При уклонении (отказе) победителя от заключения в указанные сроки договора купли-продажи задаток ему не возвращается и остается в собственности Продавца, а Победитель утрачивает право на заключение договора купли-продажи Имущества. Результаты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Продавцом аннулируются.</w:t>
      </w:r>
      <w:r>
        <w:rPr>
          <w:rFonts w:ascii="PT Astra Serif" w:hAnsi="PT Astra Serif" w:cs="PT Astra Serif"/>
          <w:color w:val="000000"/>
        </w:rPr>
      </w:r>
      <w:r>
        <w:rPr>
          <w:rFonts w:ascii="PT Astra Serif" w:hAnsi="PT Astra Serif" w:cs="PT Astra Serif"/>
          <w:color w:val="000000"/>
        </w:rPr>
      </w:r>
    </w:p>
    <w:p>
      <w:pPr>
        <w:ind w:firstLine="709"/>
        <w:jc w:val="both"/>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lang w:eastAsia="en-US"/>
        </w:rPr>
        <w:t xml:space="preserve">При уклонении (отказе) Победителя от исполнения условий договора купли-продажи, либо нарушения сроков оплаты по догово</w:t>
      </w:r>
      <w:r>
        <w:rPr>
          <w:rFonts w:ascii="PT Astra Serif" w:hAnsi="PT Astra Serif" w:eastAsia="PT Astra Serif" w:cs="PT Astra Serif"/>
          <w:color w:val="000000"/>
          <w:sz w:val="24"/>
          <w:szCs w:val="24"/>
          <w:lang w:eastAsia="en-US"/>
        </w:rPr>
        <w:t xml:space="preserve">ру купли-продажи Имущества, задаток Победителю не возвращается, и остается в собственности Продавца, договор купли-продажи подлежит расторжению. Результаты публичного предложения в части утверждения Победителя публичного предложения Продавцом аннулируются.</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В таком случае Продавец имеет право заключить договор купли-продажи Имущества с участниками публичного пред</w:t>
      </w:r>
      <w:r>
        <w:rPr>
          <w:rFonts w:ascii="PT Astra Serif" w:hAnsi="PT Astra Serif" w:eastAsia="PT Astra Serif" w:cs="PT Astra Serif"/>
          <w:color w:val="000000"/>
          <w:sz w:val="24"/>
          <w:szCs w:val="24"/>
        </w:rPr>
        <w:t xml:space="preserve">ложения, сделавшими предыдущие предложения по цене Имущества, путем последовательного направления таким участникам публичного предложения (начиная от участника, предложившего наибольшую цену, и заканчивая участником, предложившим наименьшую цену) оферты с </w:t>
      </w:r>
      <w:r>
        <w:rPr>
          <w:rFonts w:ascii="PT Astra Serif" w:hAnsi="PT Astra Serif" w:eastAsia="PT Astra Serif" w:cs="PT Astra Serif"/>
          <w:color w:val="000000"/>
          <w:sz w:val="24"/>
          <w:szCs w:val="24"/>
        </w:rPr>
        <w:t xml:space="preserve">указанием цены Имущества, которая не может быть ниже максимального предложения по цене Имущества данного участника. С участником публичного предложения (письменно выразившим намерение Продавцу на его оферту о приобретении Имущества) договор купли-продажи И</w:t>
      </w:r>
      <w:r>
        <w:rPr>
          <w:rFonts w:ascii="PT Astra Serif" w:hAnsi="PT Astra Serif" w:eastAsia="PT Astra Serif" w:cs="PT Astra Serif"/>
          <w:color w:val="000000"/>
          <w:sz w:val="24"/>
          <w:szCs w:val="24"/>
        </w:rPr>
        <w:t xml:space="preserve">мущества заключается в течение 30 (тридцати) календарных дней с даты ответа (согласия) участника публичного предложения на оферту Продавца. Указанный срок может быть продлен по соглашению Продавца и участника публичного предложения (путем обмена письмами).</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3. В случае если проведенное публичное предложение продажи было признано несостоявшимся по причине наличия только одного участника публичного предложения, реализац</w:t>
      </w:r>
      <w:r>
        <w:rPr>
          <w:rFonts w:ascii="PT Astra Serif" w:hAnsi="PT Astra Serif" w:eastAsia="PT Astra Serif" w:cs="PT Astra Serif"/>
          <w:color w:val="000000"/>
          <w:sz w:val="24"/>
          <w:szCs w:val="24"/>
        </w:rPr>
        <w:t xml:space="preserve">ия Имущества может быть осуществлена путем направления Продавцом такому участнику публичного предложения оферты с указанием цены, которая не может быть ниже цены первоначального предложения. В случае письменного согласия указанного единственного участника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с ним заключается договор купли-продажи Имущества с учетом требований, указанных в п.1 настоящего раздела.  </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sz w:val="24"/>
          <w:szCs w:val="24"/>
        </w:rPr>
      </w:pPr>
      <w:r>
        <w:rPr>
          <w:rFonts w:ascii="PT Astra Serif" w:hAnsi="PT Astra Serif" w:eastAsia="PT Astra Serif" w:cs="PT Astra Serif"/>
          <w:color w:val="000000"/>
          <w:sz w:val="24"/>
          <w:szCs w:val="24"/>
        </w:rPr>
        <w:t xml:space="preserve">4. Оплата Имущества Покупателем осуществляется в соответствии с условиями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и в порядке и сроки, установленные договором купли-продажи Имущества.</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sz w:val="24"/>
          <w:szCs w:val="24"/>
        </w:rPr>
      </w:pPr>
      <w:r>
        <w:rPr>
          <w:rFonts w:ascii="PT Astra Serif" w:hAnsi="PT Astra Serif" w:eastAsia="PT Astra Serif" w:cs="PT Astra Serif"/>
          <w:color w:val="000000"/>
          <w:sz w:val="24"/>
          <w:szCs w:val="24"/>
        </w:rPr>
        <w:t xml:space="preserve">5. Участникам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не ставшим победителями (за исключением случая заключения договора купли-продажи Имущества с единственным участником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в соответствии с п.3 настоящего раздела), суммы внесенных ими задатков возвращаются в срок не позднее 5 (пяти) рабочих дней с даты проведения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в соответствии с регламентом ЭТП ГПБ.</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6. Переход права собственности на реализованное Имущество осуществляется в соответствии с договором купли-продажи Имущества.</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sz w:val="24"/>
          <w:szCs w:val="24"/>
        </w:rPr>
      </w:pPr>
      <w:r>
        <w:rPr>
          <w:rFonts w:ascii="PT Astra Serif" w:hAnsi="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pStyle w:val="964"/>
        <w:ind w:firstLine="709"/>
        <w:jc w:val="both"/>
        <w:tabs>
          <w:tab w:val="left" w:pos="548" w:leader="none"/>
        </w:tabs>
        <w:rPr>
          <w:rFonts w:ascii="PT Astra Serif" w:hAnsi="PT Astra Serif" w:cs="PT Astra Serif"/>
          <w:bCs/>
          <w:sz w:val="24"/>
          <w:szCs w:val="24"/>
        </w:rPr>
      </w:pPr>
      <w:r>
        <w:rPr>
          <w:rFonts w:ascii="PT Astra Serif" w:hAnsi="PT Astra Serif" w:eastAsia="PT Astra Serif" w:cs="PT Astra Serif"/>
          <w:bCs/>
          <w:sz w:val="24"/>
          <w:szCs w:val="24"/>
        </w:rPr>
      </w:r>
      <w:r>
        <w:rPr>
          <w:rFonts w:ascii="PT Astra Serif" w:hAnsi="PT Astra Serif" w:cs="PT Astra Serif"/>
          <w:bCs/>
          <w:sz w:val="24"/>
          <w:szCs w:val="24"/>
        </w:rPr>
      </w:r>
      <w:r>
        <w:rPr>
          <w:rFonts w:ascii="PT Astra Serif" w:hAnsi="PT Astra Serif" w:cs="PT Astra Serif"/>
          <w:bCs/>
          <w:sz w:val="24"/>
          <w:szCs w:val="24"/>
        </w:rPr>
      </w:r>
    </w:p>
    <w:p>
      <w:pPr>
        <w:contextualSpacing/>
        <w:ind w:firstLine="709"/>
        <w:jc w:val="both"/>
        <w:spacing w:line="24" w:lineRule="atLeast"/>
        <w:tabs>
          <w:tab w:val="left" w:pos="993" w:leader="none"/>
        </w:tabs>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sectPr>
      <w:headerReference w:type="default" r:id="rId9"/>
      <w:headerReference w:type="even" r:id="rId10"/>
      <w:footnotePr/>
      <w:endnotePr/>
      <w:type w:val="nextPage"/>
      <w:pgSz w:w="11906" w:h="16838" w:orient="portrait"/>
      <w:pgMar w:top="426" w:right="707" w:bottom="568" w:left="1134"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FPEF">
    <w:panose1 w:val="020B0604020202020204"/>
  </w:font>
  <w:font w:name="Wingdings">
    <w:panose1 w:val="05000000000000000000"/>
  </w:font>
  <w:font w:name="Symbol">
    <w:panose1 w:val="05050102010706020507"/>
  </w:font>
  <w:font w:name="Courier New">
    <w:panose1 w:val="02070309020205020404"/>
  </w:font>
  <w:font w:name="Consolas">
    <w:panose1 w:val="020B0606020202030204"/>
  </w:font>
  <w:font w:name="Calibri">
    <w:panose1 w:val="020F0502020204030204"/>
  </w:font>
  <w:font w:name="Tahoma">
    <w:panose1 w:val="020B0604030504040204"/>
  </w:font>
  <w:font w:name="NewsGothic_A.Z_PS">
    <w:panose1 w:val="02000603000000000000"/>
  </w:font>
  <w:font w:name="Times New Roman">
    <w:panose1 w:val="02020603050405020304"/>
  </w:font>
  <w:font w:name="PT Astra Serif">
    <w:panose1 w:val="020A060304050502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2"/>
      <w:ind w:right="360"/>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2"/>
      <w:rPr>
        <w:rStyle w:val="954"/>
      </w:rPr>
      <w:framePr w:wrap="around" w:vAnchor="text" w:hAnchor="margin" w:xAlign="right" w:y="1"/>
    </w:pPr>
    <w:r>
      <w:rPr>
        <w:rStyle w:val="954"/>
      </w:rPr>
      <w:fldChar w:fldCharType="begin"/>
    </w:r>
    <w:r>
      <w:rPr>
        <w:rStyle w:val="954"/>
      </w:rPr>
      <w:instrText xml:space="preserve">PAGE  </w:instrText>
    </w:r>
    <w:r>
      <w:rPr>
        <w:rStyle w:val="954"/>
      </w:rPr>
      <w:fldChar w:fldCharType="end"/>
    </w:r>
    <w:r>
      <w:rPr>
        <w:rStyle w:val="954"/>
      </w:rPr>
    </w:r>
    <w:r>
      <w:rPr>
        <w:rStyle w:val="954"/>
      </w:rPr>
    </w:r>
  </w:p>
  <w:p>
    <w:pPr>
      <w:pStyle w:val="952"/>
      <w:ind w:right="36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80" w:hanging="360"/>
      </w:pPr>
      <w:rPr>
        <w:rFonts w:hint="default" w:ascii="Symbol" w:hAnsi="Symbol"/>
      </w:rPr>
    </w:lvl>
    <w:lvl w:ilvl="1">
      <w:start w:val="1"/>
      <w:numFmt w:val="bullet"/>
      <w:isLgl w:val="false"/>
      <w:suff w:val="tab"/>
      <w:lvlText w:val="o"/>
      <w:lvlJc w:val="left"/>
      <w:pPr>
        <w:ind w:left="1800" w:hanging="360"/>
      </w:pPr>
      <w:rPr>
        <w:rFonts w:hint="default" w:ascii="Courier New" w:hAnsi="Courier New" w:cs="Courier New"/>
      </w:rPr>
    </w:lvl>
    <w:lvl w:ilvl="2">
      <w:start w:val="1"/>
      <w:numFmt w:val="bullet"/>
      <w:isLgl w:val="false"/>
      <w:suff w:val="tab"/>
      <w:lvlText w:val=""/>
      <w:lvlJc w:val="left"/>
      <w:pPr>
        <w:ind w:left="2520" w:hanging="360"/>
      </w:pPr>
      <w:rPr>
        <w:rFonts w:hint="default" w:ascii="Wingdings" w:hAnsi="Wingdings"/>
      </w:rPr>
    </w:lvl>
    <w:lvl w:ilvl="3">
      <w:start w:val="1"/>
      <w:numFmt w:val="bullet"/>
      <w:isLgl w:val="false"/>
      <w:suff w:val="tab"/>
      <w:lvlText w:val=""/>
      <w:lvlJc w:val="left"/>
      <w:pPr>
        <w:ind w:left="3240" w:hanging="360"/>
      </w:pPr>
      <w:rPr>
        <w:rFonts w:hint="default" w:ascii="Symbol" w:hAnsi="Symbol"/>
      </w:rPr>
    </w:lvl>
    <w:lvl w:ilvl="4">
      <w:start w:val="1"/>
      <w:numFmt w:val="bullet"/>
      <w:isLgl w:val="false"/>
      <w:suff w:val="tab"/>
      <w:lvlText w:val="o"/>
      <w:lvlJc w:val="left"/>
      <w:pPr>
        <w:ind w:left="3960" w:hanging="360"/>
      </w:pPr>
      <w:rPr>
        <w:rFonts w:hint="default" w:ascii="Courier New" w:hAnsi="Courier New" w:cs="Courier New"/>
      </w:rPr>
    </w:lvl>
    <w:lvl w:ilvl="5">
      <w:start w:val="1"/>
      <w:numFmt w:val="bullet"/>
      <w:isLgl w:val="false"/>
      <w:suff w:val="tab"/>
      <w:lvlText w:val=""/>
      <w:lvlJc w:val="left"/>
      <w:pPr>
        <w:ind w:left="4680" w:hanging="360"/>
      </w:pPr>
      <w:rPr>
        <w:rFonts w:hint="default" w:ascii="Wingdings" w:hAnsi="Wingdings"/>
      </w:rPr>
    </w:lvl>
    <w:lvl w:ilvl="6">
      <w:start w:val="1"/>
      <w:numFmt w:val="bullet"/>
      <w:isLgl w:val="false"/>
      <w:suff w:val="tab"/>
      <w:lvlText w:val=""/>
      <w:lvlJc w:val="left"/>
      <w:pPr>
        <w:ind w:left="5400" w:hanging="360"/>
      </w:pPr>
      <w:rPr>
        <w:rFonts w:hint="default" w:ascii="Symbol" w:hAnsi="Symbol"/>
      </w:rPr>
    </w:lvl>
    <w:lvl w:ilvl="7">
      <w:start w:val="1"/>
      <w:numFmt w:val="bullet"/>
      <w:isLgl w:val="false"/>
      <w:suff w:val="tab"/>
      <w:lvlText w:val="o"/>
      <w:lvlJc w:val="left"/>
      <w:pPr>
        <w:ind w:left="6120" w:hanging="360"/>
      </w:pPr>
      <w:rPr>
        <w:rFonts w:hint="default" w:ascii="Courier New" w:hAnsi="Courier New" w:cs="Courier New"/>
      </w:rPr>
    </w:lvl>
    <w:lvl w:ilvl="8">
      <w:start w:val="1"/>
      <w:numFmt w:val="bullet"/>
      <w:isLgl w:val="false"/>
      <w:suff w:val="tab"/>
      <w:lvlText w:val=""/>
      <w:lvlJc w:val="left"/>
      <w:pPr>
        <w:ind w:left="6840" w:hanging="360"/>
      </w:pPr>
      <w:rPr>
        <w:rFonts w:hint="default" w:ascii="Wingdings" w:hAnsi="Wingdings"/>
      </w:rPr>
    </w:lvl>
  </w:abstractNum>
  <w:abstractNum w:abstractNumId="1">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2"/>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6">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7">
    <w:multiLevelType w:val="hybridMultilevel"/>
    <w:lvl w:ilvl="0">
      <w:start w:val="1"/>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86" w:hanging="360"/>
      </w:pPr>
      <w:rPr>
        <w:rFonts w:hint="default" w:ascii="Times New Roman" w:hAnsi="Times New Roman" w:eastAsia="Arial Unicode MS" w:cs="Times New Roman"/>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9">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11">
    <w:multiLevelType w:val="hybridMultilevel"/>
    <w:lvl w:ilvl="0">
      <w:start w:val="1"/>
      <w:numFmt w:val="bullet"/>
      <w:isLgl w:val="false"/>
      <w:suff w:val="tab"/>
      <w:lvlText w:val=""/>
      <w:lvlJc w:val="left"/>
      <w:pPr>
        <w:ind w:left="1080" w:hanging="360"/>
      </w:pPr>
      <w:rPr>
        <w:rFonts w:hint="default" w:ascii="Symbol" w:hAnsi="Symbol"/>
      </w:rPr>
    </w:lvl>
    <w:lvl w:ilvl="1">
      <w:start w:val="1"/>
      <w:numFmt w:val="bullet"/>
      <w:isLgl w:val="false"/>
      <w:suff w:val="tab"/>
      <w:lvlText w:val="o"/>
      <w:lvlJc w:val="left"/>
      <w:pPr>
        <w:ind w:left="1800" w:hanging="360"/>
      </w:pPr>
      <w:rPr>
        <w:rFonts w:hint="default" w:ascii="Courier New" w:hAnsi="Courier New"/>
      </w:rPr>
    </w:lvl>
    <w:lvl w:ilvl="2">
      <w:start w:val="1"/>
      <w:numFmt w:val="bullet"/>
      <w:isLgl w:val="false"/>
      <w:suff w:val="tab"/>
      <w:lvlText w:val=""/>
      <w:lvlJc w:val="left"/>
      <w:pPr>
        <w:ind w:left="2520" w:hanging="360"/>
      </w:pPr>
      <w:rPr>
        <w:rFonts w:hint="default" w:ascii="Wingdings" w:hAnsi="Wingdings"/>
      </w:rPr>
    </w:lvl>
    <w:lvl w:ilvl="3">
      <w:start w:val="1"/>
      <w:numFmt w:val="bullet"/>
      <w:isLgl w:val="false"/>
      <w:suff w:val="tab"/>
      <w:lvlText w:val=""/>
      <w:lvlJc w:val="left"/>
      <w:pPr>
        <w:ind w:left="3240" w:hanging="360"/>
      </w:pPr>
      <w:rPr>
        <w:rFonts w:hint="default" w:ascii="Symbol" w:hAnsi="Symbol"/>
      </w:rPr>
    </w:lvl>
    <w:lvl w:ilvl="4">
      <w:start w:val="1"/>
      <w:numFmt w:val="bullet"/>
      <w:isLgl w:val="false"/>
      <w:suff w:val="tab"/>
      <w:lvlText w:val="o"/>
      <w:lvlJc w:val="left"/>
      <w:pPr>
        <w:ind w:left="3960" w:hanging="360"/>
      </w:pPr>
      <w:rPr>
        <w:rFonts w:hint="default" w:ascii="Courier New" w:hAnsi="Courier New"/>
      </w:rPr>
    </w:lvl>
    <w:lvl w:ilvl="5">
      <w:start w:val="1"/>
      <w:numFmt w:val="bullet"/>
      <w:isLgl w:val="false"/>
      <w:suff w:val="tab"/>
      <w:lvlText w:val=""/>
      <w:lvlJc w:val="left"/>
      <w:pPr>
        <w:ind w:left="4680" w:hanging="360"/>
      </w:pPr>
      <w:rPr>
        <w:rFonts w:hint="default" w:ascii="Wingdings" w:hAnsi="Wingdings"/>
      </w:rPr>
    </w:lvl>
    <w:lvl w:ilvl="6">
      <w:start w:val="1"/>
      <w:numFmt w:val="bullet"/>
      <w:isLgl w:val="false"/>
      <w:suff w:val="tab"/>
      <w:lvlText w:val=""/>
      <w:lvlJc w:val="left"/>
      <w:pPr>
        <w:ind w:left="5400" w:hanging="360"/>
      </w:pPr>
      <w:rPr>
        <w:rFonts w:hint="default" w:ascii="Symbol" w:hAnsi="Symbol"/>
      </w:rPr>
    </w:lvl>
    <w:lvl w:ilvl="7">
      <w:start w:val="1"/>
      <w:numFmt w:val="bullet"/>
      <w:isLgl w:val="false"/>
      <w:suff w:val="tab"/>
      <w:lvlText w:val="o"/>
      <w:lvlJc w:val="left"/>
      <w:pPr>
        <w:ind w:left="6120" w:hanging="360"/>
      </w:pPr>
      <w:rPr>
        <w:rFonts w:hint="default" w:ascii="Courier New" w:hAnsi="Courier New"/>
      </w:rPr>
    </w:lvl>
    <w:lvl w:ilvl="8">
      <w:start w:val="1"/>
      <w:numFmt w:val="bullet"/>
      <w:isLgl w:val="false"/>
      <w:suff w:val="tab"/>
      <w:lvlText w:val=""/>
      <w:lvlJc w:val="left"/>
      <w:pPr>
        <w:ind w:left="6840" w:hanging="360"/>
      </w:pPr>
      <w:rPr>
        <w:rFonts w:hint="default" w:ascii="Wingdings" w:hAnsi="Wingdings"/>
      </w:r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4">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5">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isLgl w:val="false"/>
      <w:suff w:val="tab"/>
      <w:lvlText w:val="%1)"/>
      <w:lvlJc w:val="left"/>
      <w:pPr>
        <w:ind w:left="644" w:hanging="360"/>
      </w:pPr>
      <w:rPr>
        <w:rFonts w:hint="default"/>
      </w:r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9">
    <w:multiLevelType w:val="hybridMultilevel"/>
    <w:lvl w:ilvl="0">
      <w:start w:val="1"/>
      <w:numFmt w:val="russianLower"/>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numStyleLink w:val="982"/>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1">
    <w:multiLevelType w:val="hybridMultilevel"/>
    <w:styleLink w:val="982"/>
    <w:lvl w:ilvl="0">
      <w:start w:val="1"/>
      <w:numFmt w:val="decimal"/>
      <w:pStyle w:val="982"/>
      <w:isLgl w:val="false"/>
      <w:suff w:val="tab"/>
      <w:lvlText w:val="%1."/>
      <w:lvlJc w:val="left"/>
      <w:pPr>
        <w:ind w:left="708" w:hanging="70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lowerLetter"/>
      <w:isLgl w:val="false"/>
      <w:suff w:val="tab"/>
      <w:lvlText w:val="%2."/>
      <w:lvlJc w:val="left"/>
      <w:pPr>
        <w:ind w:left="720" w:hanging="69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lowerRoman"/>
      <w:isLgl w:val="false"/>
      <w:suff w:val="tab"/>
      <w:lvlText w:val="%3."/>
      <w:lvlJc w:val="left"/>
      <w:pPr>
        <w:ind w:left="1440" w:hanging="6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isLgl w:val="false"/>
      <w:suff w:val="tab"/>
      <w:lvlText w:val="%4."/>
      <w:lvlJc w:val="left"/>
      <w:pPr>
        <w:ind w:left="2160" w:hanging="67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lowerLetter"/>
      <w:isLgl w:val="false"/>
      <w:suff w:val="tab"/>
      <w:lvlText w:val="%5."/>
      <w:lvlJc w:val="left"/>
      <w:pPr>
        <w:ind w:left="2880" w:hanging="66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lowerRoman"/>
      <w:isLgl w:val="false"/>
      <w:suff w:val="tab"/>
      <w:lvlText w:val="%6."/>
      <w:lvlJc w:val="left"/>
      <w:pPr>
        <w:ind w:left="3600" w:hanging="58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isLgl w:val="false"/>
      <w:suff w:val="tab"/>
      <w:lvlText w:val="%7."/>
      <w:lvlJc w:val="left"/>
      <w:pPr>
        <w:ind w:left="4320" w:hanging="6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lowerLetter"/>
      <w:isLgl w:val="false"/>
      <w:suff w:val="tab"/>
      <w:lvlText w:val="%8."/>
      <w:lvlJc w:val="left"/>
      <w:pPr>
        <w:ind w:left="5040" w:hanging="6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lowerRoman"/>
      <w:isLgl w:val="false"/>
      <w:suff w:val="tab"/>
      <w:lvlText w:val="%9."/>
      <w:lvlJc w:val="left"/>
      <w:pPr>
        <w:ind w:left="5760" w:hanging="55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360" w:hanging="360"/>
      </w:p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6">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decimal"/>
      <w:isLgl w:val="false"/>
      <w:suff w:val="tab"/>
      <w:lvlText w:val="%1."/>
      <w:lvlJc w:val="left"/>
      <w:pPr>
        <w:ind w:left="709" w:hanging="360"/>
      </w:pPr>
      <w:rPr>
        <w:b/>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8">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9">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0">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1">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32">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33">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34">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5">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6">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7">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8">
    <w:multiLevelType w:val="hybridMultilevel"/>
    <w:lvl w:ilvl="0">
      <w:start w:val="1"/>
      <w:numFmt w:val="decimal"/>
      <w:isLgl w:val="false"/>
      <w:suff w:val="tab"/>
      <w:lvlText w:val="%1."/>
      <w:lvlJc w:val="left"/>
      <w:pPr>
        <w:ind w:left="709" w:hanging="360"/>
      </w:pPr>
      <w:rPr>
        <w:b/>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9">
    <w:multiLevelType w:val="hybridMultilevel"/>
    <w:lvl w:ilvl="0">
      <w:start w:val="3"/>
      <w:numFmt w:val="decimal"/>
      <w:isLgl w:val="false"/>
      <w:suff w:val="tab"/>
      <w:lvlText w:val="%1."/>
      <w:lvlJc w:val="left"/>
      <w:pPr>
        <w:ind w:left="720" w:hanging="360"/>
      </w:pPr>
      <w:rPr>
        <w:rFonts w:hint="default"/>
        <w:b/>
        <w:sz w:val="22"/>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709" w:hanging="360"/>
      </w:pPr>
      <w:rPr>
        <w:b/>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4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2">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3">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4">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45">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22"/>
  </w:num>
  <w:num w:numId="7">
    <w:abstractNumId w:val="7"/>
  </w:num>
  <w:num w:numId="8">
    <w:abstractNumId w:val="12"/>
  </w:num>
  <w:num w:numId="9">
    <w:abstractNumId w:val="17"/>
  </w:num>
  <w:num w:numId="10">
    <w:abstractNumId w:val="8"/>
  </w:num>
  <w:num w:numId="11">
    <w:abstractNumId w:val="23"/>
  </w:num>
  <w:num w:numId="12">
    <w:abstractNumId w:val="13"/>
  </w:num>
  <w:num w:numId="13">
    <w:abstractNumId w:val="3"/>
  </w:num>
  <w:num w:numId="14">
    <w:abstractNumId w:val="24"/>
  </w:num>
  <w:num w:numId="15">
    <w:abstractNumId w:val="11"/>
  </w:num>
  <w:num w:numId="16">
    <w:abstractNumId w:val="21"/>
  </w:num>
  <w:num w:numId="17">
    <w:abstractNumId w:val="20"/>
    <w:lvlOverride w:ilvl="0">
      <w:lvl w:ilvl="0">
        <w:start w:val="1"/>
        <w:numFmt w:val="decimal"/>
        <w:isLgl w:val="false"/>
        <w:suff w:val="tab"/>
        <w:lvlText w:val="%1."/>
        <w:lvlJc w:val="left"/>
        <w:pPr>
          <w:ind w:left="708" w:hanging="708"/>
        </w:pPr>
        <w:rPr>
          <w:rFonts w:hAnsi="Arial Unicode MS"/>
          <w:caps w:val="0"/>
          <w:smallCaps w:val="0"/>
          <w:strike w:val="0"/>
          <w:spacing w:val="0"/>
          <w:position w:val="0"/>
          <w:highlight w:val="none"/>
          <w:vertAlign w:val="baseline"/>
        </w:rPr>
      </w:lvl>
    </w:lvlOverride>
  </w:num>
  <w:num w:numId="18">
    <w:abstractNumId w:val="19"/>
  </w:num>
  <w:num w:numId="19">
    <w:abstractNumId w:val="0"/>
  </w:num>
  <w:num w:numId="20">
    <w:abstractNumId w:val="15"/>
  </w:num>
  <w:num w:numId="21">
    <w:abstractNumId w:val="16"/>
  </w:num>
  <w:num w:numId="22">
    <w:abstractNumId w:val="6"/>
  </w:num>
  <w:num w:numId="23">
    <w:abstractNumId w:val="10"/>
  </w:num>
  <w:num w:numId="24">
    <w:abstractNumId w:val="14"/>
  </w:num>
  <w:num w:numId="25">
    <w:abstractNumId w:val="1"/>
  </w:num>
  <w:num w:numId="26">
    <w:abstractNumId w:val="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6"/>
  </w:num>
  <w:num w:numId="34">
    <w:abstractNumId w:val="27"/>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39"/>
  </w:num>
  <w:num w:numId="47">
    <w:abstractNumId w:val="40"/>
  </w:num>
  <w:num w:numId="48">
    <w:abstractNumId w:val="41"/>
  </w:num>
  <w:num w:numId="49">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0"/>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2"/>
        <w:szCs w:val="22"/>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6">
    <w:name w:val="Heading 1"/>
    <w:basedOn w:val="938"/>
    <w:next w:val="938"/>
    <w:link w:val="767"/>
    <w:uiPriority w:val="9"/>
    <w:qFormat/>
    <w:pPr>
      <w:keepLines/>
      <w:keepNext/>
      <w:spacing w:before="480" w:after="200"/>
      <w:outlineLvl w:val="0"/>
    </w:pPr>
    <w:rPr>
      <w:rFonts w:ascii="Arial" w:hAnsi="Arial" w:eastAsia="Arial" w:cs="Arial"/>
      <w:sz w:val="40"/>
      <w:szCs w:val="40"/>
    </w:rPr>
  </w:style>
  <w:style w:type="character" w:styleId="767">
    <w:name w:val="Heading 1 Char"/>
    <w:basedOn w:val="939"/>
    <w:link w:val="766"/>
    <w:uiPriority w:val="9"/>
    <w:rPr>
      <w:rFonts w:ascii="Arial" w:hAnsi="Arial" w:eastAsia="Arial" w:cs="Arial"/>
      <w:sz w:val="40"/>
      <w:szCs w:val="40"/>
    </w:rPr>
  </w:style>
  <w:style w:type="paragraph" w:styleId="768">
    <w:name w:val="Heading 2"/>
    <w:basedOn w:val="938"/>
    <w:next w:val="938"/>
    <w:link w:val="769"/>
    <w:uiPriority w:val="9"/>
    <w:unhideWhenUsed/>
    <w:qFormat/>
    <w:pPr>
      <w:keepLines/>
      <w:keepNext/>
      <w:spacing w:before="360" w:after="200"/>
      <w:outlineLvl w:val="1"/>
    </w:pPr>
    <w:rPr>
      <w:rFonts w:ascii="Arial" w:hAnsi="Arial" w:eastAsia="Arial" w:cs="Arial"/>
      <w:sz w:val="34"/>
    </w:rPr>
  </w:style>
  <w:style w:type="character" w:styleId="769">
    <w:name w:val="Heading 2 Char"/>
    <w:basedOn w:val="939"/>
    <w:link w:val="768"/>
    <w:uiPriority w:val="9"/>
    <w:rPr>
      <w:rFonts w:ascii="Arial" w:hAnsi="Arial" w:eastAsia="Arial" w:cs="Arial"/>
      <w:sz w:val="34"/>
    </w:rPr>
  </w:style>
  <w:style w:type="paragraph" w:styleId="770">
    <w:name w:val="Heading 3"/>
    <w:basedOn w:val="938"/>
    <w:next w:val="938"/>
    <w:link w:val="771"/>
    <w:uiPriority w:val="9"/>
    <w:unhideWhenUsed/>
    <w:qFormat/>
    <w:pPr>
      <w:keepLines/>
      <w:keepNext/>
      <w:spacing w:before="320" w:after="200"/>
      <w:outlineLvl w:val="2"/>
    </w:pPr>
    <w:rPr>
      <w:rFonts w:ascii="Arial" w:hAnsi="Arial" w:eastAsia="Arial" w:cs="Arial"/>
      <w:sz w:val="30"/>
      <w:szCs w:val="30"/>
    </w:rPr>
  </w:style>
  <w:style w:type="character" w:styleId="771">
    <w:name w:val="Heading 3 Char"/>
    <w:basedOn w:val="939"/>
    <w:link w:val="770"/>
    <w:uiPriority w:val="9"/>
    <w:rPr>
      <w:rFonts w:ascii="Arial" w:hAnsi="Arial" w:eastAsia="Arial" w:cs="Arial"/>
      <w:sz w:val="30"/>
      <w:szCs w:val="30"/>
    </w:rPr>
  </w:style>
  <w:style w:type="paragraph" w:styleId="772">
    <w:name w:val="Heading 4"/>
    <w:basedOn w:val="938"/>
    <w:next w:val="938"/>
    <w:link w:val="773"/>
    <w:uiPriority w:val="9"/>
    <w:unhideWhenUsed/>
    <w:qFormat/>
    <w:pPr>
      <w:keepLines/>
      <w:keepNext/>
      <w:spacing w:before="320" w:after="200"/>
      <w:outlineLvl w:val="3"/>
    </w:pPr>
    <w:rPr>
      <w:rFonts w:ascii="Arial" w:hAnsi="Arial" w:eastAsia="Arial" w:cs="Arial"/>
      <w:b/>
      <w:bCs/>
      <w:sz w:val="26"/>
      <w:szCs w:val="26"/>
    </w:rPr>
  </w:style>
  <w:style w:type="character" w:styleId="773">
    <w:name w:val="Heading 4 Char"/>
    <w:basedOn w:val="939"/>
    <w:link w:val="772"/>
    <w:uiPriority w:val="9"/>
    <w:rPr>
      <w:rFonts w:ascii="Arial" w:hAnsi="Arial" w:eastAsia="Arial" w:cs="Arial"/>
      <w:b/>
      <w:bCs/>
      <w:sz w:val="26"/>
      <w:szCs w:val="26"/>
    </w:rPr>
  </w:style>
  <w:style w:type="paragraph" w:styleId="774">
    <w:name w:val="Heading 5"/>
    <w:basedOn w:val="938"/>
    <w:next w:val="938"/>
    <w:link w:val="775"/>
    <w:uiPriority w:val="9"/>
    <w:unhideWhenUsed/>
    <w:qFormat/>
    <w:pPr>
      <w:keepLines/>
      <w:keepNext/>
      <w:spacing w:before="320" w:after="200"/>
      <w:outlineLvl w:val="4"/>
    </w:pPr>
    <w:rPr>
      <w:rFonts w:ascii="Arial" w:hAnsi="Arial" w:eastAsia="Arial" w:cs="Arial"/>
      <w:b/>
      <w:bCs/>
      <w:sz w:val="24"/>
      <w:szCs w:val="24"/>
    </w:rPr>
  </w:style>
  <w:style w:type="character" w:styleId="775">
    <w:name w:val="Heading 5 Char"/>
    <w:basedOn w:val="939"/>
    <w:link w:val="774"/>
    <w:uiPriority w:val="9"/>
    <w:rPr>
      <w:rFonts w:ascii="Arial" w:hAnsi="Arial" w:eastAsia="Arial" w:cs="Arial"/>
      <w:b/>
      <w:bCs/>
      <w:sz w:val="24"/>
      <w:szCs w:val="24"/>
    </w:rPr>
  </w:style>
  <w:style w:type="paragraph" w:styleId="776">
    <w:name w:val="Heading 6"/>
    <w:basedOn w:val="938"/>
    <w:next w:val="938"/>
    <w:link w:val="777"/>
    <w:uiPriority w:val="9"/>
    <w:unhideWhenUsed/>
    <w:qFormat/>
    <w:pPr>
      <w:keepLines/>
      <w:keepNext/>
      <w:spacing w:before="320" w:after="200"/>
      <w:outlineLvl w:val="5"/>
    </w:pPr>
    <w:rPr>
      <w:rFonts w:ascii="Arial" w:hAnsi="Arial" w:eastAsia="Arial" w:cs="Arial"/>
      <w:b/>
      <w:bCs/>
      <w:sz w:val="22"/>
      <w:szCs w:val="22"/>
    </w:rPr>
  </w:style>
  <w:style w:type="character" w:styleId="777">
    <w:name w:val="Heading 6 Char"/>
    <w:basedOn w:val="939"/>
    <w:link w:val="776"/>
    <w:uiPriority w:val="9"/>
    <w:rPr>
      <w:rFonts w:ascii="Arial" w:hAnsi="Arial" w:eastAsia="Arial" w:cs="Arial"/>
      <w:b/>
      <w:bCs/>
      <w:sz w:val="22"/>
      <w:szCs w:val="22"/>
    </w:rPr>
  </w:style>
  <w:style w:type="paragraph" w:styleId="778">
    <w:name w:val="Heading 7"/>
    <w:basedOn w:val="938"/>
    <w:next w:val="938"/>
    <w:link w:val="779"/>
    <w:uiPriority w:val="9"/>
    <w:unhideWhenUsed/>
    <w:qFormat/>
    <w:pPr>
      <w:keepLines/>
      <w:keepNext/>
      <w:spacing w:before="320" w:after="200"/>
      <w:outlineLvl w:val="6"/>
    </w:pPr>
    <w:rPr>
      <w:rFonts w:ascii="Arial" w:hAnsi="Arial" w:eastAsia="Arial" w:cs="Arial"/>
      <w:b/>
      <w:bCs/>
      <w:i/>
      <w:iCs/>
      <w:sz w:val="22"/>
      <w:szCs w:val="22"/>
    </w:rPr>
  </w:style>
  <w:style w:type="character" w:styleId="779">
    <w:name w:val="Heading 7 Char"/>
    <w:basedOn w:val="939"/>
    <w:link w:val="778"/>
    <w:uiPriority w:val="9"/>
    <w:rPr>
      <w:rFonts w:ascii="Arial" w:hAnsi="Arial" w:eastAsia="Arial" w:cs="Arial"/>
      <w:b/>
      <w:bCs/>
      <w:i/>
      <w:iCs/>
      <w:sz w:val="22"/>
      <w:szCs w:val="22"/>
    </w:rPr>
  </w:style>
  <w:style w:type="paragraph" w:styleId="780">
    <w:name w:val="Heading 8"/>
    <w:basedOn w:val="938"/>
    <w:next w:val="938"/>
    <w:link w:val="781"/>
    <w:uiPriority w:val="9"/>
    <w:unhideWhenUsed/>
    <w:qFormat/>
    <w:pPr>
      <w:keepLines/>
      <w:keepNext/>
      <w:spacing w:before="320" w:after="200"/>
      <w:outlineLvl w:val="7"/>
    </w:pPr>
    <w:rPr>
      <w:rFonts w:ascii="Arial" w:hAnsi="Arial" w:eastAsia="Arial" w:cs="Arial"/>
      <w:i/>
      <w:iCs/>
      <w:sz w:val="22"/>
      <w:szCs w:val="22"/>
    </w:rPr>
  </w:style>
  <w:style w:type="character" w:styleId="781">
    <w:name w:val="Heading 8 Char"/>
    <w:basedOn w:val="939"/>
    <w:link w:val="780"/>
    <w:uiPriority w:val="9"/>
    <w:rPr>
      <w:rFonts w:ascii="Arial" w:hAnsi="Arial" w:eastAsia="Arial" w:cs="Arial"/>
      <w:i/>
      <w:iCs/>
      <w:sz w:val="22"/>
      <w:szCs w:val="22"/>
    </w:rPr>
  </w:style>
  <w:style w:type="paragraph" w:styleId="782">
    <w:name w:val="Heading 9"/>
    <w:basedOn w:val="938"/>
    <w:next w:val="938"/>
    <w:link w:val="783"/>
    <w:uiPriority w:val="9"/>
    <w:unhideWhenUsed/>
    <w:qFormat/>
    <w:pPr>
      <w:keepLines/>
      <w:keepNext/>
      <w:spacing w:before="320" w:after="200"/>
      <w:outlineLvl w:val="8"/>
    </w:pPr>
    <w:rPr>
      <w:rFonts w:ascii="Arial" w:hAnsi="Arial" w:eastAsia="Arial" w:cs="Arial"/>
      <w:i/>
      <w:iCs/>
      <w:sz w:val="21"/>
      <w:szCs w:val="21"/>
    </w:rPr>
  </w:style>
  <w:style w:type="character" w:styleId="783">
    <w:name w:val="Heading 9 Char"/>
    <w:basedOn w:val="939"/>
    <w:link w:val="782"/>
    <w:uiPriority w:val="9"/>
    <w:rPr>
      <w:rFonts w:ascii="Arial" w:hAnsi="Arial" w:eastAsia="Arial" w:cs="Arial"/>
      <w:i/>
      <w:iCs/>
      <w:sz w:val="21"/>
      <w:szCs w:val="21"/>
    </w:rPr>
  </w:style>
  <w:style w:type="paragraph" w:styleId="784">
    <w:name w:val="Title"/>
    <w:basedOn w:val="938"/>
    <w:next w:val="938"/>
    <w:link w:val="785"/>
    <w:uiPriority w:val="10"/>
    <w:qFormat/>
    <w:pPr>
      <w:contextualSpacing/>
      <w:spacing w:before="300" w:after="200"/>
    </w:pPr>
    <w:rPr>
      <w:sz w:val="48"/>
      <w:szCs w:val="48"/>
    </w:rPr>
  </w:style>
  <w:style w:type="character" w:styleId="785">
    <w:name w:val="Title Char"/>
    <w:basedOn w:val="939"/>
    <w:link w:val="784"/>
    <w:uiPriority w:val="10"/>
    <w:rPr>
      <w:sz w:val="48"/>
      <w:szCs w:val="48"/>
    </w:rPr>
  </w:style>
  <w:style w:type="paragraph" w:styleId="786">
    <w:name w:val="Subtitle"/>
    <w:basedOn w:val="938"/>
    <w:next w:val="938"/>
    <w:link w:val="787"/>
    <w:uiPriority w:val="11"/>
    <w:qFormat/>
    <w:pPr>
      <w:spacing w:before="200" w:after="200"/>
    </w:pPr>
    <w:rPr>
      <w:sz w:val="24"/>
      <w:szCs w:val="24"/>
    </w:rPr>
  </w:style>
  <w:style w:type="character" w:styleId="787">
    <w:name w:val="Subtitle Char"/>
    <w:basedOn w:val="939"/>
    <w:link w:val="786"/>
    <w:uiPriority w:val="11"/>
    <w:rPr>
      <w:sz w:val="24"/>
      <w:szCs w:val="24"/>
    </w:rPr>
  </w:style>
  <w:style w:type="paragraph" w:styleId="788">
    <w:name w:val="Quote"/>
    <w:basedOn w:val="938"/>
    <w:next w:val="938"/>
    <w:link w:val="789"/>
    <w:uiPriority w:val="29"/>
    <w:qFormat/>
    <w:pPr>
      <w:ind w:left="720" w:right="720"/>
    </w:pPr>
    <w:rPr>
      <w:i/>
    </w:rPr>
  </w:style>
  <w:style w:type="character" w:styleId="789">
    <w:name w:val="Quote Char"/>
    <w:link w:val="788"/>
    <w:uiPriority w:val="29"/>
    <w:rPr>
      <w:i/>
    </w:rPr>
  </w:style>
  <w:style w:type="paragraph" w:styleId="790">
    <w:name w:val="Intense Quote"/>
    <w:basedOn w:val="938"/>
    <w:next w:val="938"/>
    <w:link w:val="79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91">
    <w:name w:val="Intense Quote Char"/>
    <w:link w:val="790"/>
    <w:uiPriority w:val="30"/>
    <w:rPr>
      <w:i/>
    </w:rPr>
  </w:style>
  <w:style w:type="character" w:styleId="792">
    <w:name w:val="Header Char"/>
    <w:basedOn w:val="939"/>
    <w:link w:val="952"/>
    <w:uiPriority w:val="99"/>
  </w:style>
  <w:style w:type="character" w:styleId="793">
    <w:name w:val="Footer Char"/>
    <w:basedOn w:val="939"/>
    <w:link w:val="957"/>
    <w:uiPriority w:val="99"/>
  </w:style>
  <w:style w:type="paragraph" w:styleId="794">
    <w:name w:val="Caption"/>
    <w:basedOn w:val="938"/>
    <w:next w:val="938"/>
    <w:link w:val="795"/>
    <w:uiPriority w:val="35"/>
    <w:semiHidden/>
    <w:unhideWhenUsed/>
    <w:qFormat/>
    <w:pPr>
      <w:spacing w:line="276" w:lineRule="auto"/>
    </w:pPr>
    <w:rPr>
      <w:b/>
      <w:bCs/>
      <w:color w:val="4f81bd" w:themeColor="accent1"/>
      <w:sz w:val="18"/>
      <w:szCs w:val="18"/>
    </w:rPr>
  </w:style>
  <w:style w:type="character" w:styleId="795">
    <w:name w:val="Caption Char"/>
    <w:basedOn w:val="794"/>
    <w:link w:val="957"/>
    <w:uiPriority w:val="99"/>
  </w:style>
  <w:style w:type="table" w:styleId="796">
    <w:name w:val="Table Grid Light"/>
    <w:basedOn w:val="9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97">
    <w:name w:val="Plain Table 1"/>
    <w:basedOn w:val="9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98">
    <w:name w:val="Plain Table 2"/>
    <w:basedOn w:val="94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99">
    <w:name w:val="Plain Table 3"/>
    <w:basedOn w:val="9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00">
    <w:name w:val="Plain Table 4"/>
    <w:basedOn w:val="9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01">
    <w:name w:val="Plain Table 5"/>
    <w:basedOn w:val="9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02">
    <w:name w:val="Grid Table 1 Light"/>
    <w:basedOn w:val="94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03">
    <w:name w:val="Grid Table 1 Light - Accent 1"/>
    <w:basedOn w:val="9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04">
    <w:name w:val="Grid Table 1 Light - Accent 2"/>
    <w:basedOn w:val="9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05">
    <w:name w:val="Grid Table 1 Light - Accent 3"/>
    <w:basedOn w:val="9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06">
    <w:name w:val="Grid Table 1 Light - Accent 4"/>
    <w:basedOn w:val="9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07">
    <w:name w:val="Grid Table 1 Light - Accent 5"/>
    <w:basedOn w:val="9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08">
    <w:name w:val="Grid Table 1 Light - Accent 6"/>
    <w:basedOn w:val="9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09">
    <w:name w:val="Grid Table 2"/>
    <w:basedOn w:val="9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10">
    <w:name w:val="Grid Table 2 - Accent 1"/>
    <w:basedOn w:val="9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11">
    <w:name w:val="Grid Table 2 - Accent 2"/>
    <w:basedOn w:val="9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12">
    <w:name w:val="Grid Table 2 - Accent 3"/>
    <w:basedOn w:val="9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13">
    <w:name w:val="Grid Table 2 - Accent 4"/>
    <w:basedOn w:val="9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14">
    <w:name w:val="Grid Table 2 - Accent 5"/>
    <w:basedOn w:val="9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15">
    <w:name w:val="Grid Table 2 - Accent 6"/>
    <w:basedOn w:val="9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16">
    <w:name w:val="Grid Table 3"/>
    <w:basedOn w:val="9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7">
    <w:name w:val="Grid Table 3 - Accent 1"/>
    <w:basedOn w:val="9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8">
    <w:name w:val="Grid Table 3 - Accent 2"/>
    <w:basedOn w:val="9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9">
    <w:name w:val="Grid Table 3 - Accent 3"/>
    <w:basedOn w:val="9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0">
    <w:name w:val="Grid Table 3 - Accent 4"/>
    <w:basedOn w:val="9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1">
    <w:name w:val="Grid Table 3 - Accent 5"/>
    <w:basedOn w:val="9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2">
    <w:name w:val="Grid Table 3 - Accent 6"/>
    <w:basedOn w:val="9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3">
    <w:name w:val="Grid Table 4"/>
    <w:basedOn w:val="94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24">
    <w:name w:val="Grid Table 4 - Accent 1"/>
    <w:basedOn w:val="94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25">
    <w:name w:val="Grid Table 4 - Accent 2"/>
    <w:basedOn w:val="94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26">
    <w:name w:val="Grid Table 4 - Accent 3"/>
    <w:basedOn w:val="94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27">
    <w:name w:val="Grid Table 4 - Accent 4"/>
    <w:basedOn w:val="94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28">
    <w:name w:val="Grid Table 4 - Accent 5"/>
    <w:basedOn w:val="94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9">
    <w:name w:val="Grid Table 4 - Accent 6"/>
    <w:basedOn w:val="94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0">
    <w:name w:val="Grid Table 5 Dark"/>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1">
    <w:name w:val="Grid Table 5 Dark- Accent 1"/>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32">
    <w:name w:val="Grid Table 5 Dark - Accent 2"/>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33">
    <w:name w:val="Grid Table 5 Dark - Accent 3"/>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34">
    <w:name w:val="Grid Table 5 Dark- Accent 4"/>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35">
    <w:name w:val="Grid Table 5 Dark - Accent 5"/>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36">
    <w:name w:val="Grid Table 5 Dark - Accent 6"/>
    <w:basedOn w:val="9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37">
    <w:name w:val="Grid Table 6 Colorful"/>
    <w:basedOn w:val="94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38">
    <w:name w:val="Grid Table 6 Colorful - Accent 1"/>
    <w:basedOn w:val="94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39">
    <w:name w:val="Grid Table 6 Colorful - Accent 2"/>
    <w:basedOn w:val="9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40">
    <w:name w:val="Grid Table 6 Colorful - Accent 3"/>
    <w:basedOn w:val="94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41">
    <w:name w:val="Grid Table 6 Colorful - Accent 4"/>
    <w:basedOn w:val="9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42">
    <w:name w:val="Grid Table 6 Colorful - Accent 5"/>
    <w:basedOn w:val="94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43">
    <w:name w:val="Grid Table 6 Colorful - Accent 6"/>
    <w:basedOn w:val="94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44">
    <w:name w:val="Grid Table 7 Colorful"/>
    <w:basedOn w:val="94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45">
    <w:name w:val="Grid Table 7 Colorful - Accent 1"/>
    <w:basedOn w:val="94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46">
    <w:name w:val="Grid Table 7 Colorful - Accent 2"/>
    <w:basedOn w:val="94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47">
    <w:name w:val="Grid Table 7 Colorful - Accent 3"/>
    <w:basedOn w:val="94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48">
    <w:name w:val="Grid Table 7 Colorful - Accent 4"/>
    <w:basedOn w:val="94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49">
    <w:name w:val="Grid Table 7 Colorful - Accent 5"/>
    <w:basedOn w:val="94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50">
    <w:name w:val="Grid Table 7 Colorful - Accent 6"/>
    <w:basedOn w:val="94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51">
    <w:name w:val="List Table 1 Light"/>
    <w:basedOn w:val="94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52">
    <w:name w:val="List Table 1 Light - Accent 1"/>
    <w:basedOn w:val="940"/>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53">
    <w:name w:val="List Table 1 Light - Accent 2"/>
    <w:basedOn w:val="940"/>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54">
    <w:name w:val="List Table 1 Light - Accent 3"/>
    <w:basedOn w:val="940"/>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55">
    <w:name w:val="List Table 1 Light - Accent 4"/>
    <w:basedOn w:val="940"/>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56">
    <w:name w:val="List Table 1 Light - Accent 5"/>
    <w:basedOn w:val="940"/>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57">
    <w:name w:val="List Table 1 Light - Accent 6"/>
    <w:basedOn w:val="940"/>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58">
    <w:name w:val="List Table 2"/>
    <w:basedOn w:val="94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59">
    <w:name w:val="List Table 2 - Accent 1"/>
    <w:basedOn w:val="94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60">
    <w:name w:val="List Table 2 - Accent 2"/>
    <w:basedOn w:val="94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61">
    <w:name w:val="List Table 2 - Accent 3"/>
    <w:basedOn w:val="94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62">
    <w:name w:val="List Table 2 - Accent 4"/>
    <w:basedOn w:val="94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63">
    <w:name w:val="List Table 2 - Accent 5"/>
    <w:basedOn w:val="94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64">
    <w:name w:val="List Table 2 - Accent 6"/>
    <w:basedOn w:val="94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65">
    <w:name w:val="List Table 3"/>
    <w:basedOn w:val="9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6">
    <w:name w:val="List Table 3 - Accent 1"/>
    <w:basedOn w:val="94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67">
    <w:name w:val="List Table 3 - Accent 2"/>
    <w:basedOn w:val="9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68">
    <w:name w:val="List Table 3 - Accent 3"/>
    <w:basedOn w:val="94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69">
    <w:name w:val="List Table 3 - Accent 4"/>
    <w:basedOn w:val="9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70">
    <w:name w:val="List Table 3 - Accent 5"/>
    <w:basedOn w:val="94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71">
    <w:name w:val="List Table 3 - Accent 6"/>
    <w:basedOn w:val="94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72">
    <w:name w:val="List Table 4"/>
    <w:basedOn w:val="9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3">
    <w:name w:val="List Table 4 - Accent 1"/>
    <w:basedOn w:val="94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74">
    <w:name w:val="List Table 4 - Accent 2"/>
    <w:basedOn w:val="94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75">
    <w:name w:val="List Table 4 - Accent 3"/>
    <w:basedOn w:val="94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76">
    <w:name w:val="List Table 4 - Accent 4"/>
    <w:basedOn w:val="94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77">
    <w:name w:val="List Table 4 - Accent 5"/>
    <w:basedOn w:val="94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78">
    <w:name w:val="List Table 4 - Accent 6"/>
    <w:basedOn w:val="94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79">
    <w:name w:val="List Table 5 Dark"/>
    <w:basedOn w:val="94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0">
    <w:name w:val="List Table 5 Dark - Accent 1"/>
    <w:basedOn w:val="94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1">
    <w:name w:val="List Table 5 Dark - Accent 2"/>
    <w:basedOn w:val="94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2">
    <w:name w:val="List Table 5 Dark - Accent 3"/>
    <w:basedOn w:val="94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3">
    <w:name w:val="List Table 5 Dark - Accent 4"/>
    <w:basedOn w:val="94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4">
    <w:name w:val="List Table 5 Dark - Accent 5"/>
    <w:basedOn w:val="94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5">
    <w:name w:val="List Table 5 Dark - Accent 6"/>
    <w:basedOn w:val="94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6">
    <w:name w:val="List Table 6 Colorful"/>
    <w:basedOn w:val="94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87">
    <w:name w:val="List Table 6 Colorful - Accent 1"/>
    <w:basedOn w:val="94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88">
    <w:name w:val="List Table 6 Colorful - Accent 2"/>
    <w:basedOn w:val="94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89">
    <w:name w:val="List Table 6 Colorful - Accent 3"/>
    <w:basedOn w:val="94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90">
    <w:name w:val="List Table 6 Colorful - Accent 4"/>
    <w:basedOn w:val="94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91">
    <w:name w:val="List Table 6 Colorful - Accent 5"/>
    <w:basedOn w:val="94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92">
    <w:name w:val="List Table 6 Colorful - Accent 6"/>
    <w:basedOn w:val="94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93">
    <w:name w:val="List Table 7 Colorful"/>
    <w:basedOn w:val="94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94">
    <w:name w:val="List Table 7 Colorful - Accent 1"/>
    <w:basedOn w:val="94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95">
    <w:name w:val="List Table 7 Colorful - Accent 2"/>
    <w:basedOn w:val="94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96">
    <w:name w:val="List Table 7 Colorful - Accent 3"/>
    <w:basedOn w:val="94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97">
    <w:name w:val="List Table 7 Colorful - Accent 4"/>
    <w:basedOn w:val="94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98">
    <w:name w:val="List Table 7 Colorful - Accent 5"/>
    <w:basedOn w:val="94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99">
    <w:name w:val="List Table 7 Colorful - Accent 6"/>
    <w:basedOn w:val="94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00">
    <w:name w:val="Lined - Accent"/>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01">
    <w:name w:val="Lined - Accent 1"/>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02">
    <w:name w:val="Lined - Accent 2"/>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03">
    <w:name w:val="Lined - Accent 3"/>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04">
    <w:name w:val="Lined - Accent 4"/>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05">
    <w:name w:val="Lined - Accent 5"/>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06">
    <w:name w:val="Lined - Accent 6"/>
    <w:basedOn w:val="9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07">
    <w:name w:val="Bordered &amp; Lined - Accent"/>
    <w:basedOn w:val="94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08">
    <w:name w:val="Bordered &amp; Lined - Accent 1"/>
    <w:basedOn w:val="94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09">
    <w:name w:val="Bordered &amp; Lined - Accent 2"/>
    <w:basedOn w:val="94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10">
    <w:name w:val="Bordered &amp; Lined - Accent 3"/>
    <w:basedOn w:val="94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11">
    <w:name w:val="Bordered &amp; Lined - Accent 4"/>
    <w:basedOn w:val="94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12">
    <w:name w:val="Bordered &amp; Lined - Accent 5"/>
    <w:basedOn w:val="94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13">
    <w:name w:val="Bordered &amp; Lined - Accent 6"/>
    <w:basedOn w:val="94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14">
    <w:name w:val="Bordered"/>
    <w:basedOn w:val="94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15">
    <w:name w:val="Bordered - Accent 1"/>
    <w:basedOn w:val="9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16">
    <w:name w:val="Bordered - Accent 2"/>
    <w:basedOn w:val="9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17">
    <w:name w:val="Bordered - Accent 3"/>
    <w:basedOn w:val="9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18">
    <w:name w:val="Bordered - Accent 4"/>
    <w:basedOn w:val="9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19">
    <w:name w:val="Bordered - Accent 5"/>
    <w:basedOn w:val="9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20">
    <w:name w:val="Bordered - Accent 6"/>
    <w:basedOn w:val="9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921">
    <w:name w:val="footnote text"/>
    <w:basedOn w:val="938"/>
    <w:link w:val="922"/>
    <w:uiPriority w:val="99"/>
    <w:semiHidden/>
    <w:unhideWhenUsed/>
    <w:pPr>
      <w:spacing w:after="40" w:line="240" w:lineRule="auto"/>
    </w:pPr>
    <w:rPr>
      <w:sz w:val="18"/>
    </w:rPr>
  </w:style>
  <w:style w:type="character" w:styleId="922">
    <w:name w:val="Footnote Text Char"/>
    <w:link w:val="921"/>
    <w:uiPriority w:val="99"/>
    <w:rPr>
      <w:sz w:val="18"/>
    </w:rPr>
  </w:style>
  <w:style w:type="character" w:styleId="923">
    <w:name w:val="footnote reference"/>
    <w:basedOn w:val="939"/>
    <w:uiPriority w:val="99"/>
    <w:unhideWhenUsed/>
    <w:rPr>
      <w:vertAlign w:val="superscript"/>
    </w:rPr>
  </w:style>
  <w:style w:type="paragraph" w:styleId="924">
    <w:name w:val="endnote text"/>
    <w:basedOn w:val="938"/>
    <w:link w:val="925"/>
    <w:uiPriority w:val="99"/>
    <w:semiHidden/>
    <w:unhideWhenUsed/>
    <w:pPr>
      <w:spacing w:after="0" w:line="240" w:lineRule="auto"/>
    </w:pPr>
    <w:rPr>
      <w:sz w:val="20"/>
    </w:rPr>
  </w:style>
  <w:style w:type="character" w:styleId="925">
    <w:name w:val="Endnote Text Char"/>
    <w:link w:val="924"/>
    <w:uiPriority w:val="99"/>
    <w:rPr>
      <w:sz w:val="20"/>
    </w:rPr>
  </w:style>
  <w:style w:type="character" w:styleId="926">
    <w:name w:val="endnote reference"/>
    <w:basedOn w:val="939"/>
    <w:uiPriority w:val="99"/>
    <w:semiHidden/>
    <w:unhideWhenUsed/>
    <w:rPr>
      <w:vertAlign w:val="superscript"/>
    </w:rPr>
  </w:style>
  <w:style w:type="paragraph" w:styleId="927">
    <w:name w:val="toc 1"/>
    <w:basedOn w:val="938"/>
    <w:next w:val="938"/>
    <w:uiPriority w:val="39"/>
    <w:unhideWhenUsed/>
    <w:pPr>
      <w:ind w:left="0" w:right="0" w:firstLine="0"/>
      <w:spacing w:after="57"/>
    </w:pPr>
  </w:style>
  <w:style w:type="paragraph" w:styleId="928">
    <w:name w:val="toc 2"/>
    <w:basedOn w:val="938"/>
    <w:next w:val="938"/>
    <w:uiPriority w:val="39"/>
    <w:unhideWhenUsed/>
    <w:pPr>
      <w:ind w:left="283" w:right="0" w:firstLine="0"/>
      <w:spacing w:after="57"/>
    </w:pPr>
  </w:style>
  <w:style w:type="paragraph" w:styleId="929">
    <w:name w:val="toc 3"/>
    <w:basedOn w:val="938"/>
    <w:next w:val="938"/>
    <w:uiPriority w:val="39"/>
    <w:unhideWhenUsed/>
    <w:pPr>
      <w:ind w:left="567" w:right="0" w:firstLine="0"/>
      <w:spacing w:after="57"/>
    </w:pPr>
  </w:style>
  <w:style w:type="paragraph" w:styleId="930">
    <w:name w:val="toc 4"/>
    <w:basedOn w:val="938"/>
    <w:next w:val="938"/>
    <w:uiPriority w:val="39"/>
    <w:unhideWhenUsed/>
    <w:pPr>
      <w:ind w:left="850" w:right="0" w:firstLine="0"/>
      <w:spacing w:after="57"/>
    </w:pPr>
  </w:style>
  <w:style w:type="paragraph" w:styleId="931">
    <w:name w:val="toc 5"/>
    <w:basedOn w:val="938"/>
    <w:next w:val="938"/>
    <w:uiPriority w:val="39"/>
    <w:unhideWhenUsed/>
    <w:pPr>
      <w:ind w:left="1134" w:right="0" w:firstLine="0"/>
      <w:spacing w:after="57"/>
    </w:pPr>
  </w:style>
  <w:style w:type="paragraph" w:styleId="932">
    <w:name w:val="toc 6"/>
    <w:basedOn w:val="938"/>
    <w:next w:val="938"/>
    <w:uiPriority w:val="39"/>
    <w:unhideWhenUsed/>
    <w:pPr>
      <w:ind w:left="1417" w:right="0" w:firstLine="0"/>
      <w:spacing w:after="57"/>
    </w:pPr>
  </w:style>
  <w:style w:type="paragraph" w:styleId="933">
    <w:name w:val="toc 7"/>
    <w:basedOn w:val="938"/>
    <w:next w:val="938"/>
    <w:uiPriority w:val="39"/>
    <w:unhideWhenUsed/>
    <w:pPr>
      <w:ind w:left="1701" w:right="0" w:firstLine="0"/>
      <w:spacing w:after="57"/>
    </w:pPr>
  </w:style>
  <w:style w:type="paragraph" w:styleId="934">
    <w:name w:val="toc 8"/>
    <w:basedOn w:val="938"/>
    <w:next w:val="938"/>
    <w:uiPriority w:val="39"/>
    <w:unhideWhenUsed/>
    <w:pPr>
      <w:ind w:left="1984" w:right="0" w:firstLine="0"/>
      <w:spacing w:after="57"/>
    </w:pPr>
  </w:style>
  <w:style w:type="paragraph" w:styleId="935">
    <w:name w:val="toc 9"/>
    <w:basedOn w:val="938"/>
    <w:next w:val="938"/>
    <w:uiPriority w:val="39"/>
    <w:unhideWhenUsed/>
    <w:pPr>
      <w:ind w:left="2268" w:right="0" w:firstLine="0"/>
      <w:spacing w:after="57"/>
    </w:pPr>
  </w:style>
  <w:style w:type="paragraph" w:styleId="936">
    <w:name w:val="TOC Heading"/>
    <w:uiPriority w:val="39"/>
    <w:unhideWhenUsed/>
  </w:style>
  <w:style w:type="paragraph" w:styleId="937">
    <w:name w:val="table of figures"/>
    <w:basedOn w:val="938"/>
    <w:next w:val="938"/>
    <w:uiPriority w:val="99"/>
    <w:unhideWhenUsed/>
    <w:pPr>
      <w:spacing w:after="0" w:afterAutospacing="0"/>
    </w:pPr>
  </w:style>
  <w:style w:type="paragraph" w:styleId="938" w:default="1">
    <w:name w:val="Normal"/>
    <w:qFormat/>
    <w:rPr>
      <w:sz w:val="24"/>
      <w:szCs w:val="24"/>
    </w:rPr>
  </w:style>
  <w:style w:type="character" w:styleId="939" w:default="1">
    <w:name w:val="Default Paragraph Font"/>
    <w:uiPriority w:val="1"/>
    <w:semiHidden/>
    <w:unhideWhenUsed/>
  </w:style>
  <w:style w:type="table" w:styleId="940" w:default="1">
    <w:name w:val="Normal Table"/>
    <w:uiPriority w:val="99"/>
    <w:semiHidden/>
    <w:unhideWhenUsed/>
    <w:tblPr>
      <w:tblInd w:w="0" w:type="dxa"/>
      <w:tblCellMar>
        <w:left w:w="108" w:type="dxa"/>
        <w:top w:w="0" w:type="dxa"/>
        <w:right w:w="108" w:type="dxa"/>
        <w:bottom w:w="0" w:type="dxa"/>
      </w:tblCellMar>
    </w:tblPr>
  </w:style>
  <w:style w:type="numbering" w:styleId="941" w:default="1">
    <w:name w:val="No List"/>
    <w:uiPriority w:val="99"/>
    <w:semiHidden/>
    <w:unhideWhenUsed/>
  </w:style>
  <w:style w:type="character" w:styleId="942">
    <w:name w:val="Hyperlink"/>
    <w:basedOn w:val="939"/>
    <w:uiPriority w:val="99"/>
    <w:rPr>
      <w:rFonts w:ascii="Times New Roman" w:hAnsi="Times New Roman" w:cs="Times New Roman"/>
      <w:color w:val="0000ff"/>
      <w:u w:val="single"/>
    </w:rPr>
  </w:style>
  <w:style w:type="paragraph" w:styleId="943">
    <w:name w:val="Normal (Web)"/>
    <w:basedOn w:val="938"/>
    <w:pPr>
      <w:jc w:val="both"/>
      <w:spacing w:after="150"/>
    </w:pPr>
  </w:style>
  <w:style w:type="character" w:styleId="944" w:customStyle="1">
    <w:name w:val="Body Text Indent Char"/>
    <w:uiPriority w:val="99"/>
    <w:rPr>
      <w:sz w:val="24"/>
      <w:lang w:val="ru-RU" w:eastAsia="ru-RU"/>
    </w:rPr>
  </w:style>
  <w:style w:type="paragraph" w:styleId="945">
    <w:name w:val="Body Text Indent"/>
    <w:basedOn w:val="938"/>
    <w:link w:val="946"/>
    <w:pPr>
      <w:ind w:left="283"/>
      <w:spacing w:after="120"/>
    </w:pPr>
  </w:style>
  <w:style w:type="character" w:styleId="946" w:customStyle="1">
    <w:name w:val="Основной текст с отступом Знак"/>
    <w:basedOn w:val="939"/>
    <w:link w:val="945"/>
    <w:rPr>
      <w:rFonts w:cs="Times New Roman"/>
      <w:sz w:val="24"/>
      <w:szCs w:val="24"/>
    </w:rPr>
  </w:style>
  <w:style w:type="paragraph" w:styleId="947" w:customStyle="1">
    <w:name w:val="rvps48222"/>
    <w:basedOn w:val="938"/>
    <w:uiPriority w:val="99"/>
    <w:pPr>
      <w:jc w:val="right"/>
      <w:spacing w:after="150"/>
    </w:pPr>
  </w:style>
  <w:style w:type="character" w:styleId="948" w:customStyle="1">
    <w:name w:val="rvts48220"/>
    <w:rPr>
      <w:rFonts w:ascii="Arial" w:hAnsi="Arial"/>
      <w:color w:val="000000"/>
      <w:sz w:val="20"/>
      <w:u w:val="none"/>
    </w:rPr>
  </w:style>
  <w:style w:type="character" w:styleId="949" w:customStyle="1">
    <w:name w:val="rvts48221"/>
    <w:rPr>
      <w:rFonts w:ascii="Arial" w:hAnsi="Arial"/>
      <w:b/>
      <w:color w:val="000000"/>
      <w:sz w:val="20"/>
      <w:u w:val="none"/>
    </w:rPr>
  </w:style>
  <w:style w:type="character" w:styleId="950" w:customStyle="1">
    <w:name w:val="rvts48223"/>
    <w:rPr>
      <w:rFonts w:ascii="Arial" w:hAnsi="Arial"/>
      <w:b/>
      <w:color w:val="1d5da2"/>
      <w:sz w:val="20"/>
      <w:u w:val="none"/>
    </w:rPr>
  </w:style>
  <w:style w:type="character" w:styleId="951" w:customStyle="1">
    <w:name w:val="Font Style21"/>
    <w:uiPriority w:val="99"/>
    <w:rPr>
      <w:rFonts w:ascii="Times New Roman" w:hAnsi="Times New Roman"/>
      <w:sz w:val="22"/>
    </w:rPr>
  </w:style>
  <w:style w:type="paragraph" w:styleId="952">
    <w:name w:val="Header"/>
    <w:basedOn w:val="938"/>
    <w:link w:val="953"/>
    <w:uiPriority w:val="99"/>
    <w:pPr>
      <w:tabs>
        <w:tab w:val="center" w:pos="4677" w:leader="none"/>
        <w:tab w:val="right" w:pos="9355" w:leader="none"/>
      </w:tabs>
    </w:pPr>
  </w:style>
  <w:style w:type="character" w:styleId="953" w:customStyle="1">
    <w:name w:val="Верхний колонтитул Знак"/>
    <w:basedOn w:val="939"/>
    <w:link w:val="952"/>
    <w:uiPriority w:val="99"/>
    <w:rPr>
      <w:rFonts w:cs="Times New Roman"/>
      <w:sz w:val="24"/>
      <w:szCs w:val="24"/>
    </w:rPr>
  </w:style>
  <w:style w:type="character" w:styleId="954">
    <w:name w:val="page number"/>
    <w:basedOn w:val="939"/>
    <w:uiPriority w:val="99"/>
    <w:rPr>
      <w:rFonts w:cs="Times New Roman"/>
    </w:rPr>
  </w:style>
  <w:style w:type="paragraph" w:styleId="955">
    <w:name w:val="Balloon Text"/>
    <w:basedOn w:val="938"/>
    <w:link w:val="956"/>
    <w:uiPriority w:val="99"/>
    <w:semiHidden/>
    <w:unhideWhenUsed/>
    <w:rPr>
      <w:rFonts w:ascii="Tahoma" w:hAnsi="Tahoma" w:cs="Tahoma"/>
      <w:sz w:val="16"/>
      <w:szCs w:val="16"/>
    </w:rPr>
  </w:style>
  <w:style w:type="character" w:styleId="956" w:customStyle="1">
    <w:name w:val="Текст выноски Знак"/>
    <w:basedOn w:val="939"/>
    <w:link w:val="955"/>
    <w:uiPriority w:val="99"/>
    <w:semiHidden/>
    <w:rPr>
      <w:rFonts w:ascii="Tahoma" w:hAnsi="Tahoma" w:cs="Tahoma"/>
      <w:sz w:val="16"/>
      <w:szCs w:val="16"/>
    </w:rPr>
  </w:style>
  <w:style w:type="paragraph" w:styleId="957">
    <w:name w:val="Footer"/>
    <w:basedOn w:val="938"/>
    <w:link w:val="958"/>
    <w:uiPriority w:val="99"/>
    <w:semiHidden/>
    <w:unhideWhenUsed/>
    <w:pPr>
      <w:tabs>
        <w:tab w:val="center" w:pos="4677" w:leader="none"/>
        <w:tab w:val="right" w:pos="9355" w:leader="none"/>
      </w:tabs>
    </w:pPr>
  </w:style>
  <w:style w:type="character" w:styleId="958" w:customStyle="1">
    <w:name w:val="Нижний колонтитул Знак"/>
    <w:basedOn w:val="939"/>
    <w:link w:val="957"/>
    <w:uiPriority w:val="99"/>
    <w:semiHidden/>
    <w:rPr>
      <w:sz w:val="24"/>
      <w:szCs w:val="24"/>
    </w:rPr>
  </w:style>
  <w:style w:type="character" w:styleId="959">
    <w:name w:val="annotation reference"/>
    <w:basedOn w:val="939"/>
    <w:uiPriority w:val="99"/>
    <w:semiHidden/>
    <w:unhideWhenUsed/>
    <w:rPr>
      <w:sz w:val="16"/>
      <w:szCs w:val="16"/>
    </w:rPr>
  </w:style>
  <w:style w:type="paragraph" w:styleId="960">
    <w:name w:val="annotation text"/>
    <w:basedOn w:val="938"/>
    <w:link w:val="961"/>
    <w:uiPriority w:val="99"/>
    <w:semiHidden/>
    <w:unhideWhenUsed/>
    <w:rPr>
      <w:sz w:val="20"/>
      <w:szCs w:val="20"/>
    </w:rPr>
  </w:style>
  <w:style w:type="character" w:styleId="961" w:customStyle="1">
    <w:name w:val="Текст примечания Знак"/>
    <w:basedOn w:val="939"/>
    <w:link w:val="960"/>
    <w:uiPriority w:val="99"/>
    <w:semiHidden/>
    <w:rPr>
      <w:sz w:val="20"/>
      <w:szCs w:val="20"/>
    </w:rPr>
  </w:style>
  <w:style w:type="paragraph" w:styleId="962">
    <w:name w:val="annotation subject"/>
    <w:basedOn w:val="960"/>
    <w:next w:val="960"/>
    <w:link w:val="963"/>
    <w:uiPriority w:val="99"/>
    <w:semiHidden/>
    <w:unhideWhenUsed/>
    <w:rPr>
      <w:b/>
      <w:bCs/>
    </w:rPr>
  </w:style>
  <w:style w:type="character" w:styleId="963" w:customStyle="1">
    <w:name w:val="Тема примечания Знак"/>
    <w:basedOn w:val="961"/>
    <w:link w:val="962"/>
    <w:uiPriority w:val="99"/>
    <w:semiHidden/>
    <w:rPr>
      <w:b/>
      <w:bCs/>
      <w:sz w:val="20"/>
      <w:szCs w:val="20"/>
    </w:rPr>
  </w:style>
  <w:style w:type="paragraph" w:styleId="964">
    <w:name w:val="No Spacing"/>
    <w:link w:val="985"/>
    <w:uiPriority w:val="1"/>
    <w:qFormat/>
    <w:rPr>
      <w:rFonts w:ascii="Calibri" w:hAnsi="Calibri"/>
      <w:lang w:eastAsia="en-US"/>
    </w:rPr>
  </w:style>
  <w:style w:type="paragraph" w:styleId="965">
    <w:name w:val="Plain Text"/>
    <w:basedOn w:val="938"/>
    <w:link w:val="966"/>
    <w:uiPriority w:val="99"/>
    <w:unhideWhenUsed/>
    <w:rPr>
      <w:rFonts w:ascii="Consolas" w:hAnsi="Consolas" w:eastAsiaTheme="minorHAnsi" w:cstheme="minorBidi"/>
      <w:sz w:val="21"/>
      <w:szCs w:val="21"/>
      <w:lang w:eastAsia="en-US"/>
    </w:rPr>
  </w:style>
  <w:style w:type="character" w:styleId="966" w:customStyle="1">
    <w:name w:val="Текст Знак"/>
    <w:basedOn w:val="939"/>
    <w:link w:val="965"/>
    <w:uiPriority w:val="99"/>
    <w:rPr>
      <w:rFonts w:ascii="Consolas" w:hAnsi="Consolas" w:eastAsiaTheme="minorHAnsi" w:cstheme="minorBidi"/>
      <w:sz w:val="21"/>
      <w:szCs w:val="21"/>
      <w:lang w:eastAsia="en-US"/>
    </w:rPr>
  </w:style>
  <w:style w:type="paragraph" w:styleId="967">
    <w:name w:val="HTML Preformatted"/>
    <w:basedOn w:val="938"/>
    <w:link w:val="968"/>
    <w:uiPriority w:val="99"/>
    <w:pPr>
      <w:jc w:val="both"/>
      <w:spacing w:after="60"/>
    </w:pPr>
    <w:rPr>
      <w:rFonts w:ascii="Courier New" w:hAnsi="Courier New"/>
      <w:sz w:val="20"/>
      <w:szCs w:val="20"/>
    </w:rPr>
  </w:style>
  <w:style w:type="character" w:styleId="968" w:customStyle="1">
    <w:name w:val="Стандартный HTML Знак"/>
    <w:basedOn w:val="939"/>
    <w:link w:val="967"/>
    <w:uiPriority w:val="99"/>
    <w:rPr>
      <w:rFonts w:ascii="Courier New" w:hAnsi="Courier New"/>
      <w:sz w:val="20"/>
      <w:szCs w:val="20"/>
    </w:rPr>
  </w:style>
  <w:style w:type="character" w:styleId="969" w:customStyle="1">
    <w:name w:val="apple-converted-space"/>
    <w:basedOn w:val="939"/>
  </w:style>
  <w:style w:type="paragraph" w:styleId="970" w:customStyle="1">
    <w:name w:val="Default"/>
    <w:rPr>
      <w:rFonts w:eastAsia="Calibri"/>
      <w:color w:val="000000"/>
      <w:sz w:val="24"/>
      <w:szCs w:val="24"/>
      <w:lang w:eastAsia="en-US"/>
    </w:rPr>
  </w:style>
  <w:style w:type="paragraph" w:styleId="971">
    <w:name w:val="List Paragraph"/>
    <w:basedOn w:val="938"/>
    <w:uiPriority w:val="34"/>
    <w:qFormat/>
    <w:pPr>
      <w:contextualSpacing/>
      <w:ind w:left="720"/>
    </w:pPr>
  </w:style>
  <w:style w:type="paragraph" w:styleId="972" w:customStyle="1">
    <w:name w:val="gmail-s_1"/>
    <w:basedOn w:val="938"/>
    <w:pPr>
      <w:spacing w:before="100" w:beforeAutospacing="1" w:after="100" w:afterAutospacing="1"/>
    </w:pPr>
  </w:style>
  <w:style w:type="paragraph" w:styleId="973" w:customStyle="1">
    <w:name w:val="готик текст"/>
    <w:uiPriority w:val="99"/>
    <w:pPr>
      <w:ind w:firstLine="283"/>
      <w:jc w:val="both"/>
      <w:spacing w:line="240" w:lineRule="atLeast"/>
      <w:tabs>
        <w:tab w:val="right" w:pos="4762" w:leader="dot"/>
      </w:tabs>
    </w:pPr>
    <w:rPr>
      <w:rFonts w:ascii="NewsGothic_A.Z_PS" w:hAnsi="NewsGothic_A.Z_PS" w:cs="NewsGothic_A.Z_PS"/>
      <w:color w:val="000000"/>
      <w:sz w:val="20"/>
      <w:szCs w:val="20"/>
    </w:rPr>
  </w:style>
  <w:style w:type="character" w:styleId="974">
    <w:name w:val="Strong"/>
    <w:uiPriority w:val="22"/>
    <w:qFormat/>
    <w:rPr>
      <w:b/>
      <w:bCs/>
    </w:rPr>
  </w:style>
  <w:style w:type="character" w:styleId="975" w:customStyle="1">
    <w:name w:val="Font Style12"/>
    <w:rPr>
      <w:rFonts w:ascii="Times New Roman" w:hAnsi="Times New Roman" w:cs="Times New Roman"/>
      <w:sz w:val="22"/>
      <w:szCs w:val="22"/>
    </w:rPr>
  </w:style>
  <w:style w:type="paragraph" w:styleId="976">
    <w:name w:val="Body Text Indent 3"/>
    <w:basedOn w:val="938"/>
    <w:link w:val="977"/>
    <w:uiPriority w:val="99"/>
    <w:unhideWhenUsed/>
    <w:pPr>
      <w:ind w:left="283"/>
      <w:spacing w:after="120" w:line="276" w:lineRule="auto"/>
    </w:pPr>
    <w:rPr>
      <w:rFonts w:ascii="Calibri" w:hAnsi="Calibri" w:eastAsia="Calibri" w:cs="Calibri"/>
      <w:sz w:val="16"/>
      <w:szCs w:val="16"/>
      <w:lang w:eastAsia="en-US"/>
    </w:rPr>
  </w:style>
  <w:style w:type="character" w:styleId="977" w:customStyle="1">
    <w:name w:val="Основной текст с отступом 3 Знак"/>
    <w:basedOn w:val="939"/>
    <w:link w:val="976"/>
    <w:uiPriority w:val="99"/>
    <w:rPr>
      <w:rFonts w:ascii="Calibri" w:hAnsi="Calibri" w:eastAsia="Calibri" w:cs="Calibri"/>
      <w:sz w:val="16"/>
      <w:szCs w:val="16"/>
      <w:lang w:eastAsia="en-US"/>
    </w:rPr>
  </w:style>
  <w:style w:type="character" w:styleId="978" w:customStyle="1">
    <w:name w:val="Нет"/>
  </w:style>
  <w:style w:type="paragraph" w:styleId="979" w:customStyle="1">
    <w:name w:val="western"/>
    <w:basedOn w:val="938"/>
    <w:uiPriority w:val="99"/>
    <w:pPr>
      <w:spacing w:before="100" w:beforeAutospacing="1" w:after="119"/>
    </w:pPr>
    <w:rPr>
      <w:rFonts w:ascii="Arial" w:hAnsi="Arial" w:cs="Arial"/>
      <w:color w:val="000000"/>
      <w:sz w:val="20"/>
      <w:szCs w:val="20"/>
    </w:rPr>
  </w:style>
  <w:style w:type="paragraph" w:styleId="980" w:customStyle="1">
    <w:name w:val="Т Обычный"/>
    <w:basedOn w:val="938"/>
    <w:link w:val="981"/>
    <w:uiPriority w:val="99"/>
    <w:pPr>
      <w:spacing w:before="60" w:after="60"/>
    </w:pPr>
    <w:rPr>
      <w:rFonts w:ascii="Calibri" w:hAnsi="Calibri" w:eastAsia="Calibri"/>
    </w:rPr>
  </w:style>
  <w:style w:type="character" w:styleId="981" w:customStyle="1">
    <w:name w:val="Т Обычный Знак"/>
    <w:link w:val="980"/>
    <w:uiPriority w:val="99"/>
    <w:rPr>
      <w:rFonts w:ascii="Calibri" w:hAnsi="Calibri" w:eastAsia="Calibri"/>
      <w:sz w:val="24"/>
      <w:szCs w:val="24"/>
    </w:rPr>
  </w:style>
  <w:style w:type="numbering" w:styleId="982" w:customStyle="1">
    <w:name w:val="Импортированный стиль 1"/>
    <w:pPr>
      <w:numPr>
        <w:ilvl w:val="0"/>
        <w:numId w:val="16"/>
      </w:numPr>
    </w:pPr>
  </w:style>
  <w:style w:type="paragraph" w:styleId="983">
    <w:name w:val="Body Text"/>
    <w:basedOn w:val="938"/>
    <w:link w:val="984"/>
    <w:uiPriority w:val="99"/>
    <w:semiHidden/>
    <w:unhideWhenUsed/>
    <w:pPr>
      <w:spacing w:after="120"/>
    </w:pPr>
  </w:style>
  <w:style w:type="character" w:styleId="984" w:customStyle="1">
    <w:name w:val="Основной текст Знак"/>
    <w:basedOn w:val="939"/>
    <w:link w:val="983"/>
    <w:uiPriority w:val="99"/>
    <w:semiHidden/>
    <w:rPr>
      <w:sz w:val="24"/>
      <w:szCs w:val="24"/>
    </w:rPr>
  </w:style>
  <w:style w:type="character" w:styleId="985" w:customStyle="1">
    <w:name w:val="Без интервала Знак"/>
    <w:link w:val="964"/>
    <w:uiPriority w:val="1"/>
    <w:rPr>
      <w:rFonts w:ascii="Calibri" w:hAnsi="Calibri"/>
      <w:lang w:eastAsia="en-US"/>
    </w:rPr>
  </w:style>
  <w:style w:type="table" w:styleId="986">
    <w:name w:val="Table Grid"/>
    <w:basedOn w:val="94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87" w:customStyle="1">
    <w:name w:val="Абзац списка"/>
    <w:basedOn w:val="930"/>
    <w:next w:val="953"/>
    <w:link w:val="930"/>
    <w:uiPriority w:val="34"/>
    <w:qFormat/>
    <w:pPr>
      <w:contextualSpacing/>
      <w:ind w:left="720" w:right="0" w:firstLine="360"/>
      <w:jc w:val="left"/>
      <w:keepLines w:val="0"/>
      <w:keepNext w:val="0"/>
      <w:pageBreakBefore w:val="0"/>
      <w:spacing w:before="0" w:beforeAutospacing="0" w:after="240" w:afterAutospacing="0" w:line="48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Times New Roman" w:cs="Times New Roman"/>
      <w:b w:val="0"/>
      <w:bCs w:val="0"/>
      <w:i w:val="0"/>
      <w:iCs w:val="0"/>
      <w:caps w:val="0"/>
      <w:smallCaps w:val="0"/>
      <w:strike w:val="0"/>
      <w:vanish w:val="0"/>
      <w:color w:val="auto"/>
      <w:spacing w:val="0"/>
      <w:position w:val="0"/>
      <w:sz w:val="22"/>
      <w:szCs w:val="22"/>
      <w:highlight w:val="none"/>
      <w:u w:val="none"/>
      <w:vertAlign w:val="baseline"/>
      <w:rtl w:val="0"/>
      <w:cs w:val="0"/>
      <w:lang w:val="ru-RU" w:eastAsia="ru-RU" w:bidi="ar-SA"/>
      <w14:ligatures w14:val="none"/>
    </w:rPr>
  </w:style>
  <w:style w:type="paragraph" w:styleId="988" w:customStyle="1">
    <w:name w:val="Без интервала"/>
    <w:next w:val="964"/>
    <w:link w:val="978"/>
    <w:uiPriority w:val="1"/>
    <w:qFormat/>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Times New Roman" w:cs="Times New Roman"/>
      <w:b w:val="0"/>
      <w:bCs w:val="0"/>
      <w:i w:val="0"/>
      <w:iCs w:val="0"/>
      <w:caps w:val="0"/>
      <w:smallCaps w:val="0"/>
      <w:strike w:val="0"/>
      <w:vanish w:val="0"/>
      <w:color w:val="auto"/>
      <w:spacing w:val="0"/>
      <w:position w:val="0"/>
      <w:sz w:val="22"/>
      <w:szCs w:val="22"/>
      <w:highlight w:val="none"/>
      <w:u w:val="none"/>
      <w:vertAlign w:val="baseline"/>
      <w:rtl w:val="0"/>
      <w:cs w:val="0"/>
      <w:lang w:val="ru-RU" w:eastAsia="en-US" w:bidi="ar-SA"/>
      <w14:ligatures w14:val="none"/>
    </w:rPr>
  </w:style>
  <w:style w:type="paragraph" w:styleId="989" w:customStyle="1">
    <w:name w:val="Обычный (веб)"/>
    <w:basedOn w:val="930"/>
    <w:next w:val="937"/>
    <w:link w:val="930"/>
    <w:pPr>
      <w:contextualSpacing w:val="0"/>
      <w:ind w:left="0" w:right="0" w:firstLine="0"/>
      <w:jc w:val="both"/>
      <w:keepLines w:val="0"/>
      <w:keepNext w:val="0"/>
      <w:pageBreakBefore w:val="0"/>
      <w:spacing w:before="0" w:beforeAutospacing="0" w:after="15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hyperlink" Target="mailto:inf@adm.gazprom.ru" TargetMode="External"/><Relationship Id="rId13" Type="http://schemas.openxmlformats.org/officeDocument/2006/relationships/hyperlink" Target="mailto:e.gladyrevskaya@etpgpb.ru" TargetMode="External"/><Relationship Id="rId14" Type="http://schemas.openxmlformats.org/officeDocument/2006/relationships/hyperlink" Target="mailto:v.lysenin@etpgpb.ru" TargetMode="External"/><Relationship Id="rId15" Type="http://schemas.openxmlformats.org/officeDocument/2006/relationships/hyperlink" Target="https://torgi.etpgpb.ru/" TargetMode="External"/><Relationship Id="rId16" Type="http://schemas.openxmlformats.org/officeDocument/2006/relationships/image" Target="media/image1.jpg"/><Relationship Id="rId17" Type="http://schemas.openxmlformats.org/officeDocument/2006/relationships/image" Target="media/image2.jpg"/><Relationship Id="rId18" Type="http://schemas.openxmlformats.org/officeDocument/2006/relationships/hyperlink" Target="https://torgi.etpgpb.ru/" TargetMode="External"/><Relationship Id="rId19" Type="http://schemas.openxmlformats.org/officeDocument/2006/relationships/hyperlink" Target="https://torgi.etpgpb.ru/" TargetMode="External"/><Relationship Id="rId20" Type="http://schemas.openxmlformats.org/officeDocument/2006/relationships/hyperlink" Target="https://torgi.etpgpb.ru/" TargetMode="External"/><Relationship Id="rId21" Type="http://schemas.openxmlformats.org/officeDocument/2006/relationships/hyperlink" Target="https://torgi.etpgpb.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2177-B767-4D2E-9444-28221925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Gazprom JSC</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«Газ-Ойл» извещает о проведении торгов по продаже имущества (индивидуальный ЖИЛОЙ ДОМ расположенный по адресу:</dc:title>
  <dc:creator>Юля Носаль</dc:creator>
  <cp:lastModifiedBy>ER.Novikova</cp:lastModifiedBy>
  <cp:revision>85</cp:revision>
  <dcterms:created xsi:type="dcterms:W3CDTF">2020-07-20T09:06:00Z</dcterms:created>
  <dcterms:modified xsi:type="dcterms:W3CDTF">2026-02-18T05:49:19Z</dcterms:modified>
</cp:coreProperties>
</file>